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C0" w:rsidRPr="004962C0" w:rsidRDefault="004962C0" w:rsidP="004962C0">
      <w:pPr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>附件</w:t>
      </w:r>
    </w:p>
    <w:p w:rsidR="004962C0" w:rsidRPr="004962C0" w:rsidRDefault="004962C0" w:rsidP="004962C0">
      <w:pPr>
        <w:spacing w:beforeLines="50" w:afterLines="100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4962C0">
        <w:rPr>
          <w:rFonts w:ascii="微软雅黑" w:eastAsia="微软雅黑" w:hAnsi="微软雅黑"/>
          <w:b/>
          <w:sz w:val="36"/>
          <w:szCs w:val="36"/>
        </w:rPr>
        <w:t>企业会计准则解释第 17 号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>一、关于流动负债与非流动负债的划分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（一）列示。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1.企业在资产负债表日没有将负债清偿推迟至资产负 债表日后一年以上的实质性权利的，该负债应当归类为流动 负债。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企业是否有行使上述权利的主观可能性，并不影响负债 的流动性划分。对于符合《企业会计准则第 30 号——财务 报表列报》非流动负债划分条件的负债，即使企业有意图或 者计划在资产负债表日后一年内（含一年，下同）提前清偿 该负债，或者在资产负债表日至财务报告批准报出日之间已 提前清偿该负债，该负债仍应归类为非流动负债。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2.对于企业贷款安排产生的负债，企业将负债清偿推迟 至资产负债表日后一年以上的权利可能取决于企业是否遵 循了贷款安排中规定的条件（以下简称契约条件）。企业根 据《企业会计准则第 30 号——财务报表列报》第十九条（四） 对该负债的流动性进行划分时，应当区别以下情况考虑在资 产负债表日是否具有推迟清偿负债的权利：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（1）企业在资产负债表日或者之前应遵循的契约条件， 即使在资产负债表日之后才对该契约条件的遵循情况进行 评估（如有的契约条件规定在资产负债表日之后基于资产负 债表日财务状况进行评估），影响该权利在资产负债表日是 否存在的判断，进而影响该负债在资产负债表日的流动性划 分。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>（2）企业在资产负债表日之后应遵循的契约条件（如 有的契约条件规定基</w:t>
      </w:r>
      <w:r w:rsidRPr="004962C0">
        <w:rPr>
          <w:rFonts w:ascii="微软雅黑" w:eastAsia="微软雅黑" w:hAnsi="微软雅黑"/>
          <w:sz w:val="24"/>
          <w:szCs w:val="24"/>
        </w:rPr>
        <w:lastRenderedPageBreak/>
        <w:t xml:space="preserve">于资产负债表日之后 6 个月的财务状况 进行评估），不影响该权利在资产负债表日是否存在的判断， 与该负债在资产负债表日的流动性划分无关。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3.根据《企业会计准则第 30 号——财务报表列报》的 规定，对负债的流动性进行划分时的负债清偿是指，企业向 交易对手方以转移现金、其他经济资源（如商品或服务）或 企业自身权益工具的方式解除负债。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负债的条款导致企业在交易对手方选择的情况下通过 交付自身权益工具进行清偿的，如果该企业按照《企业会计 准则第 37 号——金融工具列报》的规定将上述选择权分类 为权益工具并将其作为复合金融工具的权益组成部分单独 确认，则该条款不影响该项负债的流动性划分。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（二）披露。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附有契约条件且归类为非流动负债的贷款安排，且企业 推迟清偿负债的权利取决于在资产负债表日后一年内应遵 循的契约条件的，企业应当在附注中披露下列信息，以使报表使用者了解该负债可能在资产负债表日后一年内清偿的 风险：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1.关于契约条件的信息（包括契约条件的性质和企业应 遵循契约条件的时间），以及相关负债的账面价值。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2.如果存在表明企业可能难以遵循契约条件的事实和 情况，则应当予以披露（如企业在报告期内或报告期后已采 取行动以避免或减轻潜在的违约事项等）。假如基于企业在 资产负债表日的实际情况进行评估，企业将被视为未遵循相 关契约条件的，则应当披露这一事实。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（三）新旧衔接。 企业在首次执行本解释的规定时，应当按照本解释的规 定对可比期间信息进行调整。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lastRenderedPageBreak/>
        <w:t>二、关于供应商融资安排的披露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 本解释所称供应商融资安排（又称供应链融资、应付账 款融资或反向保理安排，下同）应当具有下列特征：一个或 多个融资提供方提供资金，为企业支付其应付供应商的款 项，并约定该企业根据安排的条款和条件，在其供应商收到 款项的当天或之后向融资提供方还款。与原付款到期日相 比，供应商融资安排延长了该企业的付款期，或者提前了该 企业供应商的收款期。仅为企业提供信用增级的安排（如用 作担保的信用证等财务担保）以及企业用于直接与供应商结 算应付账款的工具（如信用卡）不属于供应商融资安排。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 （一）披露。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1.企业在根据《企业会计准则第 31 号——现金流量表》 进行附注披露时，应当汇总披露与供应商融资安排有关的下 列信息，以有助于报表使用者评估这些安排对该企业负债、 现金流量以及该企业流动性风险敞口的影响：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（1）供应商融资安排的条款和条件（如延长付款期限 和担保提供情况等）。但是，针对具有不同条款和条件的供 应商融资安排，企业应当予以单独披露。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（2）报告期期初和期末的下列信息：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①属于供应商融资安排的金融负债在资产负债表中的 列报项目和账面金额。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>②第①项披露的金融负债中供应商已从融资提供方收 到款项的，应披露所对应的金融负债的列报项目和账面金 额。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 ③第①项披露的金融负债的付款到期日区间（例如自收 到发票后的 30 至 40 天），以及不属于供应商融资安排的可 比应付账款（例如与第①项披露的金融负债属于同一业务或 地区的应付账款）的付款到期日区间。如果付款到期日区间 的范围较大，企业还应当披露有关这些区间的解释性信息或 额外的区间信</w:t>
      </w:r>
      <w:r w:rsidRPr="004962C0">
        <w:rPr>
          <w:rFonts w:ascii="微软雅黑" w:eastAsia="微软雅黑" w:hAnsi="微软雅黑"/>
          <w:sz w:val="24"/>
          <w:szCs w:val="24"/>
        </w:rPr>
        <w:lastRenderedPageBreak/>
        <w:t>息（如分层区间）。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（3）第（2）①项披露的金融负债账面金额中不涉及现 金收支的当期变动（包括企业合并、汇率变动以及其他不需使用现金或现金等价物的交易或事项）的类型和影响。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2.企业在根据《企业会计准则第 37 号——金融工具列 报》的要求披露流动性风险信息时，应当考虑其是否已获得 或已有途径获得通过供应商融资安排向企业提供延期付款 或向其供应商提供提前收款的授信。企业在根据《企业会计 准则第 37 号——金融工具列报》的要求识别流动性风险集 中度时，应当考虑供应商融资安排导致企业将其原来应付供 应商的部分金融负债集中于融资提供方这一因素。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>（二）新旧衔接。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 企业在首次执行本解释的规定时，无需披露可比期间相 关信息，并且无需在首次执行本解释规定的年度报告中披露 第 1（2）项下②和③所要求的期初信息。企业无需在首次执 行本解释规定的中期报告中披露第 1 项和第 2 项所要求的信 息。 三、关于售后租回交易的会计处理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（一）会计处理。 售后租回交易中的资产转让属于销售的，在租赁期开始 日后，承租人应当按照《企业会计准则第 21 号——租赁》 第二十条的规定对售后租回所形成的使用权资产进行后续 计量，并按照《企业会计准则第 21 号——租赁》第二十三 条至第二十九条的规定对售后租回所形成的租赁负债进行 后续计量。承租人在对售后租回所形成的租赁负债进行后续计量时，确定租赁付款额或变更后租赁付款额的方式不得导 致其确认与租回所获得的使用权有关的利得或损失。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lastRenderedPageBreak/>
        <w:t>租赁变更导致租赁范围缩小或租赁期缩短的，承租人仍 应当按照《企业会计准则第 21 号——租赁》第二十九条的 规定将部分终止或完全终止租赁的相关利得或损失计入当 期损益，不受前款规定的限制。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 （二）新旧衔接。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企业在首次执行本解释的规定时，应当按照本解释的规 定对《企业会计准则第 21 号——租赁》首次执行日后开展 的售后租回交易进行追溯调整。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本解释内容允许企业自发布年度提前执行，若提前执行 还应当在财务报表附注中披露相关情况。 </w:t>
      </w:r>
    </w:p>
    <w:p w:rsidR="004962C0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 xml:space="preserve">四、生效日期 </w:t>
      </w:r>
    </w:p>
    <w:p w:rsidR="00DA0094" w:rsidRPr="004962C0" w:rsidRDefault="004962C0" w:rsidP="004962C0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962C0">
        <w:rPr>
          <w:rFonts w:ascii="微软雅黑" w:eastAsia="微软雅黑" w:hAnsi="微软雅黑"/>
          <w:sz w:val="24"/>
          <w:szCs w:val="24"/>
        </w:rPr>
        <w:t>本解释自 2024 年 1 月 1 日起施行。</w:t>
      </w:r>
    </w:p>
    <w:sectPr w:rsidR="00DA0094" w:rsidRPr="004962C0" w:rsidSect="00FB0742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2C0"/>
    <w:rsid w:val="00353168"/>
    <w:rsid w:val="003D07DE"/>
    <w:rsid w:val="0045186A"/>
    <w:rsid w:val="004962C0"/>
    <w:rsid w:val="00550B4B"/>
    <w:rsid w:val="0074779C"/>
    <w:rsid w:val="00DA0094"/>
    <w:rsid w:val="00E826D9"/>
    <w:rsid w:val="00F222AD"/>
    <w:rsid w:val="00FB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2023-11-10T01:18:00Z</dcterms:created>
  <dcterms:modified xsi:type="dcterms:W3CDTF">2023-11-10T01:25:00Z</dcterms:modified>
</cp:coreProperties>
</file>