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0C" w:rsidRDefault="005D260C" w:rsidP="005D260C">
      <w:pPr>
        <w:pStyle w:val="a3"/>
        <w:shd w:val="clear" w:color="auto" w:fill="FFFFFF"/>
        <w:spacing w:before="0" w:beforeAutospacing="0" w:after="166" w:afterAutospacing="0"/>
        <w:rPr>
          <w:color w:val="333333"/>
        </w:rPr>
      </w:pPr>
      <w:r>
        <w:rPr>
          <w:rFonts w:hint="eastAsia"/>
          <w:b/>
          <w:bCs/>
          <w:color w:val="333333"/>
        </w:rPr>
        <w:t>附录</w:t>
      </w:r>
      <w:bookmarkStart w:id="0" w:name="_GoBack"/>
      <w:bookmarkEnd w:id="0"/>
    </w:p>
    <w:p w:rsidR="005D260C" w:rsidRDefault="005D260C" w:rsidP="005D260C">
      <w:pPr>
        <w:pStyle w:val="a3"/>
        <w:shd w:val="clear" w:color="auto" w:fill="FFFFFF"/>
        <w:spacing w:before="0" w:beforeAutospacing="0" w:after="166" w:afterAutospacing="0"/>
        <w:jc w:val="center"/>
        <w:rPr>
          <w:color w:val="333333"/>
        </w:rPr>
      </w:pPr>
      <w:r>
        <w:rPr>
          <w:rFonts w:hint="eastAsia"/>
          <w:b/>
          <w:bCs/>
          <w:color w:val="333333"/>
        </w:rPr>
        <w:t>术语定义</w:t>
      </w:r>
    </w:p>
    <w:p w:rsidR="005D260C" w:rsidRDefault="005D260C" w:rsidP="005D260C">
      <w:pPr>
        <w:pStyle w:val="a3"/>
        <w:shd w:val="clear" w:color="auto" w:fill="FFFFFF"/>
        <w:spacing w:before="0" w:beforeAutospacing="0" w:after="166" w:afterAutospacing="0"/>
        <w:rPr>
          <w:color w:val="333333"/>
        </w:rPr>
      </w:pPr>
      <w:r>
        <w:rPr>
          <w:rFonts w:hint="eastAsia"/>
          <w:color w:val="333333"/>
        </w:rPr>
        <w:t xml:space="preserve">　　本附录是《企业可持续披露准则第1号——气候（试行）》的组成部分，与本准则其他部分具有同等效力。</w:t>
      </w:r>
    </w:p>
    <w:tbl>
      <w:tblPr>
        <w:tblStyle w:val="a"/>
        <w:tblW w:w="9648" w:type="dxa"/>
        <w:jc w:val="center"/>
        <w:tblCellMar>
          <w:left w:w="0" w:type="dxa"/>
          <w:right w:w="0" w:type="dxa"/>
        </w:tblCellMar>
        <w:tblLook w:val="04A0" w:firstRow="1" w:lastRow="0" w:firstColumn="1" w:lastColumn="0" w:noHBand="0" w:noVBand="1"/>
      </w:tblPr>
      <w:tblGrid>
        <w:gridCol w:w="1895"/>
        <w:gridCol w:w="235"/>
        <w:gridCol w:w="141"/>
        <w:gridCol w:w="6698"/>
        <w:gridCol w:w="455"/>
        <w:gridCol w:w="224"/>
      </w:tblGrid>
      <w:tr w:rsidR="005D260C" w:rsidTr="005D260C">
        <w:trPr>
          <w:gridAfter w:val="2"/>
          <w:wAfter w:w="744" w:type="dxa"/>
          <w:trHeight w:val="762"/>
          <w:jc w:val="center"/>
        </w:trPr>
        <w:tc>
          <w:tcPr>
            <w:tcW w:w="243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气候相关风险</w:t>
            </w:r>
          </w:p>
        </w:tc>
        <w:tc>
          <w:tcPr>
            <w:tcW w:w="7217"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指气候变化对企业可能产生的消极影响，分为气候相关物理风险和气候相关转型风险。</w:t>
            </w:r>
          </w:p>
        </w:tc>
      </w:tr>
      <w:tr w:rsidR="005D260C" w:rsidTr="005D260C">
        <w:trPr>
          <w:gridAfter w:val="2"/>
          <w:wAfter w:w="744" w:type="dxa"/>
          <w:trHeight w:val="789"/>
          <w:jc w:val="center"/>
        </w:trPr>
        <w:tc>
          <w:tcPr>
            <w:tcW w:w="243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气候相关机遇</w:t>
            </w:r>
          </w:p>
        </w:tc>
        <w:tc>
          <w:tcPr>
            <w:tcW w:w="721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指气候变化对企业可能产生的积极影响，减缓气候变化和适应气候变化的措施可以为企业创造气候相关机遇。</w:t>
            </w:r>
          </w:p>
        </w:tc>
      </w:tr>
      <w:tr w:rsidR="005D260C" w:rsidTr="005D260C">
        <w:trPr>
          <w:gridAfter w:val="2"/>
          <w:wAfter w:w="744" w:type="dxa"/>
          <w:trHeight w:val="978"/>
          <w:jc w:val="center"/>
        </w:trPr>
        <w:tc>
          <w:tcPr>
            <w:tcW w:w="243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气候相关影响</w:t>
            </w:r>
          </w:p>
        </w:tc>
        <w:tc>
          <w:tcPr>
            <w:tcW w:w="721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指企业活动（包括与之相关的价值链活动，下同）对气候变化产生的影响，包括实际影响或者可预见的潜在影响、积极影响或者消极影响。</w:t>
            </w:r>
          </w:p>
        </w:tc>
      </w:tr>
      <w:tr w:rsidR="005D260C" w:rsidTr="005D260C">
        <w:trPr>
          <w:gridAfter w:val="2"/>
          <w:wAfter w:w="744" w:type="dxa"/>
          <w:trHeight w:val="2985"/>
          <w:jc w:val="center"/>
        </w:trPr>
        <w:tc>
          <w:tcPr>
            <w:tcW w:w="243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气候相关</w:t>
            </w:r>
          </w:p>
          <w:p w:rsidR="005D260C" w:rsidRDefault="005D260C" w:rsidP="005D260C">
            <w:pPr>
              <w:spacing w:line="588" w:lineRule="atLeast"/>
              <w:ind w:firstLine="412"/>
              <w:jc w:val="both"/>
              <w:rPr>
                <w:spacing w:val="-2"/>
                <w:sz w:val="24"/>
                <w:szCs w:val="24"/>
              </w:rPr>
            </w:pPr>
            <w:r>
              <w:rPr>
                <w:rFonts w:hint="eastAsia"/>
                <w:spacing w:val="-2"/>
              </w:rPr>
              <w:t>物理风险</w:t>
            </w:r>
          </w:p>
        </w:tc>
        <w:tc>
          <w:tcPr>
            <w:tcW w:w="721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由气候变化导致的风险，可能由事件驱动（急性物理风险），也可能由气候模式的长期转变导致（慢性物理风险）。急性物理风险源于与天气相关的事件，如风暴、洪水、干旱或者热浪。慢性物理风险源于气候模式的长期转变，包括降水和温度的变化可能导致海平面上升、水资源减少、生物多样性丧失和土壤生产力变化。这种风险可能对企业产生财务影响，如资产直接损毁产生的成本或者由于供应链中断产生的间接影响。企业的经营成果也可能受到以下因素的影响：水资源供应、来源和质量的变化；影响企业场所、运营、供应链、运输需求和员工健康安全的极端温度变化。</w:t>
            </w:r>
          </w:p>
        </w:tc>
      </w:tr>
      <w:tr w:rsidR="005D260C" w:rsidTr="005D260C">
        <w:trPr>
          <w:gridAfter w:val="2"/>
          <w:wAfter w:w="744" w:type="dxa"/>
          <w:trHeight w:val="1587"/>
          <w:jc w:val="center"/>
        </w:trPr>
        <w:tc>
          <w:tcPr>
            <w:tcW w:w="243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气候相关</w:t>
            </w:r>
          </w:p>
          <w:p w:rsidR="005D260C" w:rsidRDefault="005D260C" w:rsidP="005D260C">
            <w:pPr>
              <w:spacing w:line="588" w:lineRule="atLeast"/>
              <w:ind w:firstLine="412"/>
              <w:jc w:val="both"/>
              <w:rPr>
                <w:spacing w:val="-2"/>
                <w:sz w:val="24"/>
                <w:szCs w:val="24"/>
              </w:rPr>
            </w:pPr>
            <w:r>
              <w:rPr>
                <w:rFonts w:hint="eastAsia"/>
                <w:spacing w:val="-2"/>
              </w:rPr>
              <w:t>转型风险</w:t>
            </w:r>
          </w:p>
        </w:tc>
        <w:tc>
          <w:tcPr>
            <w:tcW w:w="721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向低碳经济转型带来的风险。转型风险包括政策、法律、技术、市场和声誉风险。这些风险可能对企业产生财务影响，例如由于新的或者修订的气候相关法规而增加经营成本或者资产减值。消费者需求的转变以及新技术的开发和应用也可能影响该企业的经营成果。</w:t>
            </w:r>
          </w:p>
        </w:tc>
      </w:tr>
      <w:tr w:rsidR="005D260C" w:rsidTr="005D260C">
        <w:trPr>
          <w:gridAfter w:val="2"/>
          <w:wAfter w:w="744" w:type="dxa"/>
          <w:trHeight w:val="995"/>
          <w:jc w:val="center"/>
        </w:trPr>
        <w:tc>
          <w:tcPr>
            <w:tcW w:w="243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lastRenderedPageBreak/>
              <w:t>温室气体</w:t>
            </w:r>
          </w:p>
        </w:tc>
        <w:tc>
          <w:tcPr>
            <w:tcW w:w="721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32"/>
                <w:szCs w:val="32"/>
              </w:rPr>
            </w:pPr>
            <w:r>
              <w:rPr>
                <w:rFonts w:hint="eastAsia"/>
                <w:spacing w:val="-2"/>
              </w:rPr>
              <w:t>指《京都议定书》列明的7种温室气体，包括二氧化碳（CO</w:t>
            </w:r>
            <w:r>
              <w:rPr>
                <w:rFonts w:hint="eastAsia"/>
                <w:spacing w:val="-2"/>
                <w:sz w:val="18"/>
                <w:szCs w:val="18"/>
              </w:rPr>
              <w:t>2</w:t>
            </w:r>
            <w:r>
              <w:rPr>
                <w:rFonts w:hint="eastAsia"/>
                <w:spacing w:val="-2"/>
              </w:rPr>
              <w:t>）、甲烷（CH</w:t>
            </w:r>
            <w:r>
              <w:rPr>
                <w:rFonts w:hint="eastAsia"/>
                <w:spacing w:val="-2"/>
                <w:sz w:val="18"/>
                <w:szCs w:val="18"/>
              </w:rPr>
              <w:t>4</w:t>
            </w:r>
            <w:r>
              <w:rPr>
                <w:rFonts w:hint="eastAsia"/>
                <w:spacing w:val="-2"/>
              </w:rPr>
              <w:t>）、氧化亚氮（N</w:t>
            </w:r>
            <w:r>
              <w:rPr>
                <w:rFonts w:hint="eastAsia"/>
                <w:spacing w:val="-2"/>
                <w:sz w:val="18"/>
                <w:szCs w:val="18"/>
              </w:rPr>
              <w:t>2</w:t>
            </w:r>
            <w:r>
              <w:rPr>
                <w:rFonts w:hint="eastAsia"/>
                <w:spacing w:val="-2"/>
              </w:rPr>
              <w:t>O）、氢氟碳化物（HFCs）、全氟化碳（PFCs）、六氟化硫（SF</w:t>
            </w:r>
            <w:r>
              <w:rPr>
                <w:rFonts w:hint="eastAsia"/>
                <w:spacing w:val="-2"/>
                <w:sz w:val="18"/>
                <w:szCs w:val="18"/>
              </w:rPr>
              <w:t>6</w:t>
            </w:r>
            <w:r>
              <w:rPr>
                <w:rFonts w:hint="eastAsia"/>
                <w:spacing w:val="-2"/>
              </w:rPr>
              <w:t>）、三氟化氮（NF</w:t>
            </w:r>
            <w:r>
              <w:rPr>
                <w:rFonts w:hint="eastAsia"/>
                <w:spacing w:val="-2"/>
                <w:sz w:val="18"/>
                <w:szCs w:val="18"/>
              </w:rPr>
              <w:t>3</w:t>
            </w:r>
            <w:r>
              <w:rPr>
                <w:rFonts w:hint="eastAsia"/>
                <w:spacing w:val="-2"/>
              </w:rPr>
              <w:t>）。</w:t>
            </w:r>
          </w:p>
        </w:tc>
      </w:tr>
      <w:tr w:rsidR="005D260C" w:rsidTr="005D260C">
        <w:trPr>
          <w:gridAfter w:val="2"/>
          <w:wAfter w:w="744" w:type="dxa"/>
          <w:trHeight w:val="747"/>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气候转型计划</w:t>
            </w:r>
          </w:p>
        </w:tc>
        <w:tc>
          <w:tcPr>
            <w:tcW w:w="7371"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指企业为实现低碳经济转型而制定的系统性战略框架，作为整体战略的一个方面，旨在通过科学路径、可量化目标和具体行动（包括温室气体减排行动），协调短期经营决策与长期气候目标（如《巴黎协定》</w:t>
            </w:r>
            <w:r>
              <w:rPr>
                <w:rFonts w:hint="eastAsia"/>
                <w:spacing w:val="-20"/>
              </w:rPr>
              <w:t>1.5</w:t>
            </w:r>
            <w:r>
              <w:rPr>
                <w:rFonts w:hint="eastAsia"/>
                <w:spacing w:val="-34"/>
              </w:rPr>
              <w:t>°C</w:t>
            </w:r>
            <w:r>
              <w:rPr>
                <w:rFonts w:hint="eastAsia"/>
                <w:spacing w:val="-2"/>
              </w:rPr>
              <w:t>温控目标），同时满足国家法律法规、战略规划及利益相关方预期。</w:t>
            </w:r>
          </w:p>
        </w:tc>
      </w:tr>
      <w:tr w:rsidR="005D260C" w:rsidTr="005D260C">
        <w:trPr>
          <w:gridAfter w:val="2"/>
          <w:wAfter w:w="744" w:type="dxa"/>
          <w:trHeight w:val="1290"/>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气候韧性</w:t>
            </w:r>
          </w:p>
        </w:tc>
        <w:tc>
          <w:tcPr>
            <w:tcW w:w="7371"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针对气候相关变化、发展或者不确定性做出调整的能力，即企业管理气候相关风险和从气候相关机遇中受益的能力、应对及适应气候相关物理风险和气候相关转型风险的能力，包括企业对气候相关变化、发展和不确定性的战略韧性和运营韧性。</w:t>
            </w:r>
          </w:p>
        </w:tc>
      </w:tr>
      <w:tr w:rsidR="005D260C" w:rsidTr="005D260C">
        <w:trPr>
          <w:gridAfter w:val="2"/>
          <w:wAfter w:w="744" w:type="dxa"/>
          <w:trHeight w:val="707"/>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范围一</w:t>
            </w:r>
          </w:p>
          <w:p w:rsidR="005D260C" w:rsidRDefault="005D260C" w:rsidP="005D260C">
            <w:pPr>
              <w:spacing w:line="588" w:lineRule="atLeast"/>
              <w:ind w:firstLine="412"/>
              <w:jc w:val="both"/>
              <w:rPr>
                <w:spacing w:val="-2"/>
                <w:sz w:val="24"/>
                <w:szCs w:val="24"/>
              </w:rPr>
            </w:pPr>
            <w:r>
              <w:rPr>
                <w:rFonts w:hint="eastAsia"/>
                <w:spacing w:val="-2"/>
              </w:rPr>
              <w:t>温室气体排放</w:t>
            </w:r>
          </w:p>
        </w:tc>
        <w:tc>
          <w:tcPr>
            <w:tcW w:w="7371"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指由企业拥有或者控制的排放源所产生的直接温室气体排放。</w:t>
            </w:r>
          </w:p>
        </w:tc>
      </w:tr>
      <w:tr w:rsidR="005D260C" w:rsidTr="005D260C">
        <w:trPr>
          <w:gridAfter w:val="2"/>
          <w:wAfter w:w="744" w:type="dxa"/>
          <w:trHeight w:val="798"/>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范围二</w:t>
            </w:r>
          </w:p>
          <w:p w:rsidR="005D260C" w:rsidRDefault="005D260C" w:rsidP="005D260C">
            <w:pPr>
              <w:spacing w:line="588" w:lineRule="atLeast"/>
              <w:ind w:firstLine="412"/>
              <w:jc w:val="both"/>
              <w:rPr>
                <w:spacing w:val="-2"/>
                <w:sz w:val="24"/>
                <w:szCs w:val="24"/>
              </w:rPr>
            </w:pPr>
            <w:r>
              <w:rPr>
                <w:rFonts w:hint="eastAsia"/>
                <w:spacing w:val="-2"/>
              </w:rPr>
              <w:t>温室气体排放</w:t>
            </w:r>
          </w:p>
        </w:tc>
        <w:tc>
          <w:tcPr>
            <w:tcW w:w="7371"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指企业所消耗的外购电力、蒸汽、供暖或者制冷产生的间接温室气体排放。</w:t>
            </w:r>
          </w:p>
          <w:p w:rsidR="005D260C" w:rsidRDefault="005D260C" w:rsidP="005D260C">
            <w:pPr>
              <w:spacing w:line="588" w:lineRule="atLeast"/>
              <w:ind w:firstLine="412"/>
              <w:jc w:val="both"/>
              <w:rPr>
                <w:spacing w:val="-2"/>
                <w:sz w:val="24"/>
                <w:szCs w:val="24"/>
              </w:rPr>
            </w:pPr>
            <w:r>
              <w:rPr>
                <w:rFonts w:hint="eastAsia"/>
                <w:spacing w:val="-2"/>
              </w:rPr>
              <w:t>外购电力是指购买或者以其他方式接入企业边界的电力。范围二温室气体排放实际产生于发电设施。</w:t>
            </w:r>
          </w:p>
        </w:tc>
      </w:tr>
      <w:tr w:rsidR="005D260C" w:rsidTr="005D260C">
        <w:trPr>
          <w:gridAfter w:val="1"/>
          <w:wAfter w:w="245" w:type="dxa"/>
          <w:trHeight w:val="5647"/>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lastRenderedPageBreak/>
              <w:t>范围三</w:t>
            </w:r>
          </w:p>
          <w:p w:rsidR="005D260C" w:rsidRDefault="005D260C" w:rsidP="005D260C">
            <w:pPr>
              <w:spacing w:line="588" w:lineRule="atLeast"/>
              <w:ind w:firstLine="412"/>
              <w:jc w:val="both"/>
              <w:rPr>
                <w:spacing w:val="-2"/>
                <w:sz w:val="24"/>
                <w:szCs w:val="24"/>
              </w:rPr>
            </w:pPr>
            <w:r>
              <w:rPr>
                <w:rFonts w:hint="eastAsia"/>
                <w:spacing w:val="-2"/>
              </w:rPr>
              <w:t>温室气体排放</w:t>
            </w:r>
          </w:p>
        </w:tc>
        <w:tc>
          <w:tcPr>
            <w:tcW w:w="7870"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价值链中发生的间接温室气体排放（不包括在范围二温室气体排放中），包括上游和下游排放。如《温室气体核算体系：企业价值链（范围三）核算和报告标准》所述，分为下列十五类活动所产生的温室气体排放：</w:t>
            </w:r>
          </w:p>
          <w:p w:rsidR="005D260C" w:rsidRDefault="005D260C" w:rsidP="005D260C">
            <w:pPr>
              <w:spacing w:line="588" w:lineRule="atLeast"/>
              <w:ind w:firstLine="412"/>
              <w:jc w:val="both"/>
              <w:rPr>
                <w:spacing w:val="-2"/>
              </w:rPr>
            </w:pPr>
            <w:r>
              <w:rPr>
                <w:rFonts w:hint="eastAsia"/>
                <w:spacing w:val="-2"/>
              </w:rPr>
              <w:t>1.购买的商品和服务；</w:t>
            </w:r>
          </w:p>
          <w:p w:rsidR="005D260C" w:rsidRDefault="005D260C" w:rsidP="005D260C">
            <w:pPr>
              <w:spacing w:line="588" w:lineRule="atLeast"/>
              <w:ind w:firstLine="412"/>
              <w:jc w:val="both"/>
              <w:rPr>
                <w:spacing w:val="-2"/>
              </w:rPr>
            </w:pPr>
            <w:r>
              <w:rPr>
                <w:rFonts w:hint="eastAsia"/>
                <w:spacing w:val="-2"/>
              </w:rPr>
              <w:t>2.资本商品；</w:t>
            </w:r>
          </w:p>
          <w:p w:rsidR="005D260C" w:rsidRDefault="005D260C" w:rsidP="005D260C">
            <w:pPr>
              <w:spacing w:line="588" w:lineRule="atLeast"/>
              <w:ind w:firstLine="412"/>
              <w:jc w:val="both"/>
              <w:rPr>
                <w:spacing w:val="-2"/>
              </w:rPr>
            </w:pPr>
            <w:r>
              <w:rPr>
                <w:rFonts w:hint="eastAsia"/>
                <w:spacing w:val="-2"/>
              </w:rPr>
              <w:t>3.燃料和能源相关活动（未包括在范围</w:t>
            </w:r>
            <w:proofErr w:type="gramStart"/>
            <w:r>
              <w:rPr>
                <w:rFonts w:hint="eastAsia"/>
                <w:spacing w:val="-2"/>
              </w:rPr>
              <w:t>一</w:t>
            </w:r>
            <w:proofErr w:type="gramEnd"/>
            <w:r>
              <w:rPr>
                <w:rFonts w:hint="eastAsia"/>
                <w:spacing w:val="-2"/>
              </w:rPr>
              <w:t>和范围二中的部分）；</w:t>
            </w:r>
          </w:p>
          <w:p w:rsidR="005D260C" w:rsidRDefault="005D260C" w:rsidP="005D260C">
            <w:pPr>
              <w:spacing w:line="588" w:lineRule="atLeast"/>
              <w:ind w:firstLine="412"/>
              <w:jc w:val="both"/>
              <w:rPr>
                <w:spacing w:val="-2"/>
              </w:rPr>
            </w:pPr>
            <w:r>
              <w:rPr>
                <w:rFonts w:hint="eastAsia"/>
                <w:spacing w:val="-2"/>
              </w:rPr>
              <w:t>4.上游运输及配送；</w:t>
            </w:r>
          </w:p>
          <w:p w:rsidR="005D260C" w:rsidRDefault="005D260C" w:rsidP="005D260C">
            <w:pPr>
              <w:spacing w:line="588" w:lineRule="atLeast"/>
              <w:ind w:firstLine="412"/>
              <w:jc w:val="both"/>
              <w:rPr>
                <w:spacing w:val="-2"/>
              </w:rPr>
            </w:pPr>
            <w:r>
              <w:rPr>
                <w:rFonts w:hint="eastAsia"/>
                <w:spacing w:val="-2"/>
              </w:rPr>
              <w:t>5.运营中产生的废弃物；</w:t>
            </w:r>
          </w:p>
          <w:p w:rsidR="005D260C" w:rsidRDefault="005D260C" w:rsidP="005D260C">
            <w:pPr>
              <w:spacing w:line="588" w:lineRule="atLeast"/>
              <w:ind w:firstLine="412"/>
              <w:jc w:val="both"/>
              <w:rPr>
                <w:spacing w:val="-2"/>
              </w:rPr>
            </w:pPr>
            <w:r>
              <w:rPr>
                <w:rFonts w:hint="eastAsia"/>
                <w:spacing w:val="-2"/>
              </w:rPr>
              <w:t>6.商务差旅；</w:t>
            </w:r>
          </w:p>
          <w:p w:rsidR="005D260C" w:rsidRDefault="005D260C" w:rsidP="005D260C">
            <w:pPr>
              <w:spacing w:line="588" w:lineRule="atLeast"/>
              <w:ind w:firstLine="412"/>
              <w:jc w:val="both"/>
              <w:rPr>
                <w:spacing w:val="-2"/>
              </w:rPr>
            </w:pPr>
            <w:r>
              <w:rPr>
                <w:rFonts w:hint="eastAsia"/>
                <w:spacing w:val="-2"/>
              </w:rPr>
              <w:t>7.员工通勤；</w:t>
            </w:r>
          </w:p>
          <w:p w:rsidR="005D260C" w:rsidRDefault="005D260C" w:rsidP="005D260C">
            <w:pPr>
              <w:spacing w:line="588" w:lineRule="atLeast"/>
              <w:ind w:firstLine="412"/>
              <w:jc w:val="both"/>
              <w:rPr>
                <w:spacing w:val="-2"/>
              </w:rPr>
            </w:pPr>
            <w:r>
              <w:rPr>
                <w:rFonts w:hint="eastAsia"/>
                <w:spacing w:val="-2"/>
              </w:rPr>
              <w:t>8.上游租赁资产；</w:t>
            </w:r>
          </w:p>
          <w:p w:rsidR="005D260C" w:rsidRDefault="005D260C" w:rsidP="005D260C">
            <w:pPr>
              <w:spacing w:line="588" w:lineRule="atLeast"/>
              <w:ind w:firstLine="412"/>
              <w:jc w:val="both"/>
              <w:rPr>
                <w:spacing w:val="-2"/>
              </w:rPr>
            </w:pPr>
            <w:r>
              <w:rPr>
                <w:rFonts w:hint="eastAsia"/>
                <w:spacing w:val="-2"/>
              </w:rPr>
              <w:t>9.下游运输及配送；</w:t>
            </w:r>
          </w:p>
          <w:p w:rsidR="005D260C" w:rsidRDefault="005D260C" w:rsidP="005D260C">
            <w:pPr>
              <w:spacing w:line="588" w:lineRule="atLeast"/>
              <w:ind w:firstLine="412"/>
              <w:jc w:val="both"/>
              <w:rPr>
                <w:spacing w:val="-2"/>
              </w:rPr>
            </w:pPr>
            <w:r>
              <w:rPr>
                <w:rFonts w:hint="eastAsia"/>
                <w:spacing w:val="-2"/>
              </w:rPr>
              <w:t>10.售出产品的加工；</w:t>
            </w:r>
          </w:p>
          <w:p w:rsidR="005D260C" w:rsidRDefault="005D260C" w:rsidP="005D260C">
            <w:pPr>
              <w:spacing w:line="588" w:lineRule="atLeast"/>
              <w:ind w:firstLine="412"/>
              <w:jc w:val="both"/>
              <w:rPr>
                <w:spacing w:val="-2"/>
              </w:rPr>
            </w:pPr>
            <w:r>
              <w:rPr>
                <w:rFonts w:hint="eastAsia"/>
                <w:spacing w:val="-2"/>
              </w:rPr>
              <w:t>11.售出产品的使用；</w:t>
            </w:r>
          </w:p>
          <w:p w:rsidR="005D260C" w:rsidRDefault="005D260C" w:rsidP="005D260C">
            <w:pPr>
              <w:spacing w:line="588" w:lineRule="atLeast"/>
              <w:ind w:firstLine="412"/>
              <w:jc w:val="both"/>
              <w:rPr>
                <w:spacing w:val="-2"/>
              </w:rPr>
            </w:pPr>
            <w:r>
              <w:rPr>
                <w:rFonts w:hint="eastAsia"/>
                <w:spacing w:val="-2"/>
              </w:rPr>
              <w:t>12.售出产品的报废处理；</w:t>
            </w:r>
          </w:p>
          <w:p w:rsidR="005D260C" w:rsidRDefault="005D260C" w:rsidP="005D260C">
            <w:pPr>
              <w:spacing w:line="588" w:lineRule="atLeast"/>
              <w:ind w:firstLine="412"/>
              <w:jc w:val="both"/>
              <w:rPr>
                <w:spacing w:val="-2"/>
              </w:rPr>
            </w:pPr>
            <w:r>
              <w:rPr>
                <w:rFonts w:hint="eastAsia"/>
                <w:spacing w:val="-2"/>
              </w:rPr>
              <w:t>13.下游租赁资产；</w:t>
            </w:r>
          </w:p>
          <w:p w:rsidR="005D260C" w:rsidRDefault="005D260C" w:rsidP="005D260C">
            <w:pPr>
              <w:spacing w:line="588" w:lineRule="atLeast"/>
              <w:ind w:firstLine="412"/>
              <w:jc w:val="both"/>
              <w:rPr>
                <w:spacing w:val="-2"/>
              </w:rPr>
            </w:pPr>
            <w:r>
              <w:rPr>
                <w:rFonts w:hint="eastAsia"/>
                <w:spacing w:val="-2"/>
              </w:rPr>
              <w:t>14.特许经营权；</w:t>
            </w:r>
          </w:p>
          <w:p w:rsidR="005D260C" w:rsidRDefault="005D260C" w:rsidP="005D260C">
            <w:pPr>
              <w:spacing w:line="588" w:lineRule="atLeast"/>
              <w:ind w:firstLine="412"/>
              <w:jc w:val="both"/>
              <w:rPr>
                <w:spacing w:val="-2"/>
                <w:sz w:val="24"/>
                <w:szCs w:val="24"/>
              </w:rPr>
            </w:pPr>
            <w:r>
              <w:rPr>
                <w:rFonts w:hint="eastAsia"/>
                <w:spacing w:val="-2"/>
              </w:rPr>
              <w:t>15.投资。</w:t>
            </w:r>
          </w:p>
        </w:tc>
      </w:tr>
      <w:tr w:rsidR="005D260C" w:rsidTr="005D260C">
        <w:trPr>
          <w:gridAfter w:val="1"/>
          <w:wAfter w:w="245" w:type="dxa"/>
          <w:trHeight w:val="90"/>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90" w:lineRule="atLeast"/>
              <w:ind w:firstLine="412"/>
              <w:jc w:val="both"/>
              <w:rPr>
                <w:spacing w:val="-2"/>
                <w:sz w:val="24"/>
                <w:szCs w:val="24"/>
              </w:rPr>
            </w:pPr>
            <w:r>
              <w:rPr>
                <w:rFonts w:hint="eastAsia"/>
                <w:spacing w:val="-2"/>
              </w:rPr>
              <w:t>二氧化碳当量</w:t>
            </w:r>
          </w:p>
        </w:tc>
        <w:tc>
          <w:tcPr>
            <w:tcW w:w="7870"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通用计量单位，比较某种温室气体与二氧化碳的辐射强度的单位。给定温室气体的二氧化碳当量等于该温室气体量乘以其全球变暖潜力值。</w:t>
            </w:r>
          </w:p>
          <w:p w:rsidR="005D260C" w:rsidRDefault="005D260C" w:rsidP="005D260C">
            <w:pPr>
              <w:spacing w:line="90" w:lineRule="atLeast"/>
              <w:ind w:firstLine="412"/>
              <w:jc w:val="both"/>
              <w:rPr>
                <w:spacing w:val="-2"/>
                <w:sz w:val="24"/>
                <w:szCs w:val="24"/>
              </w:rPr>
            </w:pPr>
            <w:r>
              <w:rPr>
                <w:rFonts w:hint="eastAsia"/>
                <w:spacing w:val="-2"/>
              </w:rPr>
              <w:t>全球变暖潜力值指每单位特定温室气体相对于每单位二氧化碳的辐射强度影响（对大气的危害程度）的系数。企业应当使用国家相关部门要求的全球变暖潜力值，也可以参考根据报告日可获取的联合国政府间气候变化专门委员会最新评估，基于百年全球变暖潜力值将七种温室气体排放量转换为二氧化碳当量值。</w:t>
            </w:r>
          </w:p>
        </w:tc>
      </w:tr>
      <w:tr w:rsidR="005D260C" w:rsidTr="005D260C">
        <w:trPr>
          <w:gridAfter w:val="1"/>
          <w:wAfter w:w="245" w:type="dxa"/>
          <w:trHeight w:val="1361"/>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lastRenderedPageBreak/>
              <w:t>排放因子</w:t>
            </w:r>
          </w:p>
        </w:tc>
        <w:tc>
          <w:tcPr>
            <w:tcW w:w="7870"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rPr>
                <w:spacing w:val="-2"/>
                <w:sz w:val="24"/>
                <w:szCs w:val="24"/>
              </w:rPr>
            </w:pPr>
            <w:r>
              <w:rPr>
                <w:rFonts w:hint="eastAsia"/>
                <w:spacing w:val="-2"/>
              </w:rPr>
              <w:t>指每单位活动数据（如能源消耗量、生产量等）所对应的温室气体排放量。例如：燃烧1吨煤炭产生的二氧化碳当量排放、生产1吨水泥产生的二氧化碳当量排放。排放量=活动数据×排放因子。</w:t>
            </w:r>
          </w:p>
        </w:tc>
      </w:tr>
      <w:tr w:rsidR="005D260C" w:rsidTr="005D260C">
        <w:trPr>
          <w:gridAfter w:val="1"/>
          <w:wAfter w:w="245" w:type="dxa"/>
          <w:trHeight w:val="1059"/>
          <w:jc w:val="center"/>
        </w:trPr>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融资排放</w:t>
            </w:r>
          </w:p>
        </w:tc>
        <w:tc>
          <w:tcPr>
            <w:tcW w:w="7870"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指被投资方或者交易对手方的温室气体排放总量中归属于企业向被投资方或者交易对手方提供的贷款和投资的部分，属于范围三温室气体排放的第十五个类别。</w:t>
            </w:r>
          </w:p>
        </w:tc>
      </w:tr>
      <w:tr w:rsidR="005D260C" w:rsidTr="005D260C">
        <w:trPr>
          <w:trHeight w:val="2971"/>
          <w:jc w:val="center"/>
        </w:trPr>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内部碳定价</w:t>
            </w:r>
          </w:p>
        </w:tc>
        <w:tc>
          <w:tcPr>
            <w:tcW w:w="8372" w:type="dxa"/>
            <w:gridSpan w:val="5"/>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指企业用于评估投资、生产和消费模式变化以及潜在的技术进步和未来减</w:t>
            </w:r>
            <w:proofErr w:type="gramStart"/>
            <w:r>
              <w:rPr>
                <w:rFonts w:hint="eastAsia"/>
                <w:spacing w:val="-2"/>
              </w:rPr>
              <w:t>排成本</w:t>
            </w:r>
            <w:proofErr w:type="gramEnd"/>
            <w:r>
              <w:rPr>
                <w:rFonts w:hint="eastAsia"/>
                <w:spacing w:val="-2"/>
              </w:rPr>
              <w:t>财务影响的价格。企业通常使用下列两种类型的内部碳定价：</w:t>
            </w:r>
          </w:p>
          <w:p w:rsidR="005D260C" w:rsidRDefault="005D260C" w:rsidP="005D260C">
            <w:pPr>
              <w:spacing w:line="588" w:lineRule="atLeast"/>
              <w:ind w:firstLine="412"/>
              <w:jc w:val="both"/>
              <w:rPr>
                <w:spacing w:val="-2"/>
              </w:rPr>
            </w:pPr>
            <w:r>
              <w:rPr>
                <w:rFonts w:hint="eastAsia"/>
                <w:spacing w:val="-2"/>
              </w:rPr>
              <w:t>1.影子价格，即企业不实际收取的理论成本或者名义金额，该价格可用于了解风险影响、新投资、项目净现值、各种措施成本效益的经济影响；</w:t>
            </w:r>
          </w:p>
          <w:p w:rsidR="005D260C" w:rsidRDefault="005D260C" w:rsidP="005D260C">
            <w:pPr>
              <w:spacing w:line="588" w:lineRule="atLeast"/>
              <w:ind w:firstLine="412"/>
              <w:jc w:val="both"/>
              <w:rPr>
                <w:spacing w:val="-2"/>
                <w:sz w:val="24"/>
                <w:szCs w:val="24"/>
              </w:rPr>
            </w:pPr>
            <w:r>
              <w:rPr>
                <w:rFonts w:hint="eastAsia"/>
                <w:spacing w:val="-2"/>
              </w:rPr>
              <w:t>2.内部税费，即企业根据业务活动、产品线或者其他业务部门的温室气体排放量收取的碳定价（这些内部税费类似于企业内部转移定价）。</w:t>
            </w:r>
          </w:p>
        </w:tc>
      </w:tr>
      <w:tr w:rsidR="005D260C" w:rsidTr="005D260C">
        <w:trPr>
          <w:trHeight w:val="871"/>
          <w:jc w:val="center"/>
        </w:trPr>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业务模式</w:t>
            </w:r>
          </w:p>
        </w:tc>
        <w:tc>
          <w:tcPr>
            <w:tcW w:w="8372" w:type="dxa"/>
            <w:gridSpan w:val="5"/>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12"/>
              <w:jc w:val="both"/>
              <w:rPr>
                <w:spacing w:val="-2"/>
                <w:sz w:val="24"/>
                <w:szCs w:val="24"/>
              </w:rPr>
            </w:pPr>
            <w:r>
              <w:rPr>
                <w:rFonts w:hint="eastAsia"/>
                <w:spacing w:val="-2"/>
              </w:rPr>
              <w:t>指企业通过其活动将投入转化为产出和结果的体系，旨在实现企业的战略目标并为企业创造价值，从而在短期、中期和长期产生现金流量。</w:t>
            </w:r>
          </w:p>
        </w:tc>
      </w:tr>
      <w:tr w:rsidR="005D260C" w:rsidTr="005D260C">
        <w:trPr>
          <w:trHeight w:val="871"/>
          <w:jc w:val="center"/>
        </w:trPr>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60C" w:rsidRDefault="005D260C" w:rsidP="005D260C">
            <w:pPr>
              <w:spacing w:line="588" w:lineRule="atLeast"/>
              <w:ind w:firstLine="420"/>
              <w:jc w:val="both"/>
              <w:rPr>
                <w:spacing w:val="-2"/>
                <w:sz w:val="24"/>
                <w:szCs w:val="24"/>
              </w:rPr>
            </w:pPr>
            <w:r>
              <w:rPr>
                <w:rFonts w:hint="eastAsia"/>
              </w:rPr>
              <w:t>《温室气体核算体系》</w:t>
            </w:r>
          </w:p>
        </w:tc>
        <w:tc>
          <w:tcPr>
            <w:tcW w:w="8372" w:type="dxa"/>
            <w:gridSpan w:val="5"/>
            <w:tcBorders>
              <w:top w:val="nil"/>
              <w:left w:val="single" w:sz="8" w:space="0" w:color="auto"/>
              <w:bottom w:val="single" w:sz="8" w:space="0" w:color="auto"/>
              <w:right w:val="nil"/>
            </w:tcBorders>
            <w:tcMar>
              <w:top w:w="0" w:type="dxa"/>
              <w:left w:w="108" w:type="dxa"/>
              <w:bottom w:w="0" w:type="dxa"/>
              <w:right w:w="108" w:type="dxa"/>
            </w:tcMar>
            <w:vAlign w:val="center"/>
            <w:hideMark/>
          </w:tcPr>
          <w:p w:rsidR="005D260C" w:rsidRDefault="005D260C" w:rsidP="005D260C">
            <w:pPr>
              <w:spacing w:line="588" w:lineRule="atLeast"/>
              <w:ind w:firstLine="420"/>
              <w:jc w:val="both"/>
              <w:rPr>
                <w:spacing w:val="-2"/>
                <w:sz w:val="24"/>
                <w:szCs w:val="24"/>
              </w:rPr>
            </w:pPr>
            <w:r>
              <w:rPr>
                <w:rFonts w:hint="eastAsia"/>
              </w:rPr>
              <w:t>指由</w:t>
            </w:r>
            <w:r>
              <w:rPr>
                <w:rFonts w:hint="eastAsia"/>
                <w:spacing w:val="-2"/>
              </w:rPr>
              <w:t>世界资源研究所和世界可持续发展工商理事会（WRI/WBCSD）制定的《温室气体核算体系：企业核算和报告标准》（GHG Protocol）。</w:t>
            </w:r>
          </w:p>
        </w:tc>
      </w:tr>
    </w:tbl>
    <w:p w:rsidR="00DA0094" w:rsidRPr="005D260C" w:rsidRDefault="00DA0094" w:rsidP="005D260C">
      <w:pPr>
        <w:ind w:firstLine="420"/>
      </w:pPr>
    </w:p>
    <w:sectPr w:rsidR="00DA0094" w:rsidRPr="005D260C" w:rsidSect="00FB0742">
      <w:headerReference w:type="even" r:id="rId8"/>
      <w:headerReference w:type="default" r:id="rId9"/>
      <w:footerReference w:type="even" r:id="rId10"/>
      <w:footerReference w:type="default" r:id="rId11"/>
      <w:headerReference w:type="first" r:id="rId12"/>
      <w:footerReference w:type="first" r:id="rId13"/>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DE" w:rsidRDefault="00EF2BDE" w:rsidP="00842EB6">
      <w:pPr>
        <w:spacing w:line="240" w:lineRule="auto"/>
        <w:ind w:firstLine="420"/>
      </w:pPr>
      <w:r>
        <w:separator/>
      </w:r>
    </w:p>
  </w:endnote>
  <w:endnote w:type="continuationSeparator" w:id="0">
    <w:p w:rsidR="00EF2BDE" w:rsidRDefault="00EF2BDE" w:rsidP="00842EB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6" w:rsidRDefault="00842EB6" w:rsidP="00842EB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6" w:rsidRDefault="00842EB6" w:rsidP="00842EB6">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6" w:rsidRDefault="00842EB6" w:rsidP="00842EB6">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DE" w:rsidRDefault="00EF2BDE" w:rsidP="00842EB6">
      <w:pPr>
        <w:spacing w:line="240" w:lineRule="auto"/>
        <w:ind w:firstLine="420"/>
      </w:pPr>
      <w:r>
        <w:separator/>
      </w:r>
    </w:p>
  </w:footnote>
  <w:footnote w:type="continuationSeparator" w:id="0">
    <w:p w:rsidR="00EF2BDE" w:rsidRDefault="00EF2BDE" w:rsidP="00842EB6">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6" w:rsidRDefault="00842EB6" w:rsidP="00842EB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6" w:rsidRDefault="00842EB6" w:rsidP="00842EB6">
    <w:pPr>
      <w:pStyle w:val="a6"/>
      <w:pBdr>
        <w:bottom w:val="none" w:sz="0" w:space="0" w:color="auto"/>
      </w:pBdr>
      <w:tabs>
        <w:tab w:val="left" w:pos="3741"/>
      </w:tabs>
      <w:ind w:firstLine="360"/>
      <w:jc w:val="lef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6" w:rsidRDefault="00842EB6" w:rsidP="00842EB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F5E2A"/>
    <w:multiLevelType w:val="multilevel"/>
    <w:tmpl w:val="46AE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DE"/>
    <w:rsid w:val="00113EC1"/>
    <w:rsid w:val="001464BC"/>
    <w:rsid w:val="00222E4B"/>
    <w:rsid w:val="002B2A63"/>
    <w:rsid w:val="002C6986"/>
    <w:rsid w:val="002C7165"/>
    <w:rsid w:val="002F307E"/>
    <w:rsid w:val="0032090D"/>
    <w:rsid w:val="003344A6"/>
    <w:rsid w:val="00353168"/>
    <w:rsid w:val="003F1CE4"/>
    <w:rsid w:val="004064A4"/>
    <w:rsid w:val="0045186A"/>
    <w:rsid w:val="00550B4B"/>
    <w:rsid w:val="0056507D"/>
    <w:rsid w:val="005D260C"/>
    <w:rsid w:val="006C7244"/>
    <w:rsid w:val="00703E19"/>
    <w:rsid w:val="0074779C"/>
    <w:rsid w:val="00797F05"/>
    <w:rsid w:val="00842EB6"/>
    <w:rsid w:val="00852F63"/>
    <w:rsid w:val="009731C2"/>
    <w:rsid w:val="00A06FDE"/>
    <w:rsid w:val="00A308EC"/>
    <w:rsid w:val="00A61ECB"/>
    <w:rsid w:val="00A64A25"/>
    <w:rsid w:val="00B94FBD"/>
    <w:rsid w:val="00C8051F"/>
    <w:rsid w:val="00CC67D9"/>
    <w:rsid w:val="00D24AF2"/>
    <w:rsid w:val="00D3127C"/>
    <w:rsid w:val="00DA0094"/>
    <w:rsid w:val="00E62DCD"/>
    <w:rsid w:val="00E703B7"/>
    <w:rsid w:val="00E826D9"/>
    <w:rsid w:val="00EF2BDE"/>
    <w:rsid w:val="00EF7DD1"/>
    <w:rsid w:val="00F222AD"/>
    <w:rsid w:val="00FB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94"/>
    <w:pPr>
      <w:widowControl w:val="0"/>
    </w:pPr>
  </w:style>
  <w:style w:type="paragraph" w:styleId="2">
    <w:name w:val="heading 2"/>
    <w:basedOn w:val="a"/>
    <w:link w:val="2Char"/>
    <w:uiPriority w:val="9"/>
    <w:qFormat/>
    <w:rsid w:val="00A06FDE"/>
    <w:pPr>
      <w:widowControl/>
      <w:spacing w:before="100" w:beforeAutospacing="1" w:after="100" w:afterAutospacing="1" w:line="240" w:lineRule="auto"/>
      <w:ind w:firstLineChars="0" w:firstLine="0"/>
      <w:outlineLvl w:val="1"/>
    </w:pPr>
    <w:rPr>
      <w:b/>
      <w:bCs/>
      <w:sz w:val="36"/>
      <w:szCs w:val="36"/>
    </w:rPr>
  </w:style>
  <w:style w:type="paragraph" w:styleId="3">
    <w:name w:val="heading 3"/>
    <w:basedOn w:val="a"/>
    <w:next w:val="a"/>
    <w:link w:val="3Char"/>
    <w:uiPriority w:val="9"/>
    <w:semiHidden/>
    <w:unhideWhenUsed/>
    <w:qFormat/>
    <w:rsid w:val="002C7165"/>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F7DD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06FDE"/>
    <w:rPr>
      <w:b/>
      <w:bCs/>
      <w:sz w:val="36"/>
      <w:szCs w:val="36"/>
    </w:rPr>
  </w:style>
  <w:style w:type="paragraph" w:styleId="a3">
    <w:name w:val="Normal (Web)"/>
    <w:basedOn w:val="a"/>
    <w:uiPriority w:val="99"/>
    <w:unhideWhenUsed/>
    <w:rsid w:val="00A06FDE"/>
    <w:pPr>
      <w:widowControl/>
      <w:spacing w:before="100" w:beforeAutospacing="1" w:after="100" w:afterAutospacing="1" w:line="240" w:lineRule="auto"/>
      <w:ind w:firstLineChars="0" w:firstLine="0"/>
    </w:pPr>
    <w:rPr>
      <w:sz w:val="24"/>
      <w:szCs w:val="24"/>
    </w:rPr>
  </w:style>
  <w:style w:type="character" w:customStyle="1" w:styleId="3Char">
    <w:name w:val="标题 3 Char"/>
    <w:basedOn w:val="a0"/>
    <w:link w:val="3"/>
    <w:uiPriority w:val="9"/>
    <w:semiHidden/>
    <w:rsid w:val="002C7165"/>
    <w:rPr>
      <w:b/>
      <w:bCs/>
      <w:sz w:val="32"/>
      <w:szCs w:val="32"/>
    </w:rPr>
  </w:style>
  <w:style w:type="character" w:styleId="a4">
    <w:name w:val="Strong"/>
    <w:basedOn w:val="a0"/>
    <w:uiPriority w:val="22"/>
    <w:qFormat/>
    <w:rsid w:val="002C7165"/>
    <w:rPr>
      <w:b/>
      <w:bCs/>
    </w:rPr>
  </w:style>
  <w:style w:type="character" w:styleId="a5">
    <w:name w:val="Hyperlink"/>
    <w:basedOn w:val="a0"/>
    <w:uiPriority w:val="99"/>
    <w:semiHidden/>
    <w:unhideWhenUsed/>
    <w:rsid w:val="002C7165"/>
    <w:rPr>
      <w:color w:val="0000FF"/>
      <w:u w:val="single"/>
    </w:rPr>
  </w:style>
  <w:style w:type="paragraph" w:styleId="a6">
    <w:name w:val="header"/>
    <w:basedOn w:val="a"/>
    <w:link w:val="Char"/>
    <w:uiPriority w:val="99"/>
    <w:semiHidden/>
    <w:unhideWhenUsed/>
    <w:rsid w:val="00842E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842EB6"/>
    <w:rPr>
      <w:sz w:val="18"/>
      <w:szCs w:val="18"/>
    </w:rPr>
  </w:style>
  <w:style w:type="paragraph" w:styleId="a7">
    <w:name w:val="footer"/>
    <w:basedOn w:val="a"/>
    <w:link w:val="Char0"/>
    <w:uiPriority w:val="99"/>
    <w:semiHidden/>
    <w:unhideWhenUsed/>
    <w:rsid w:val="00842EB6"/>
    <w:pPr>
      <w:tabs>
        <w:tab w:val="center" w:pos="4153"/>
        <w:tab w:val="right" w:pos="8306"/>
      </w:tabs>
      <w:snapToGrid w:val="0"/>
      <w:spacing w:line="240" w:lineRule="auto"/>
    </w:pPr>
    <w:rPr>
      <w:sz w:val="18"/>
      <w:szCs w:val="18"/>
    </w:rPr>
  </w:style>
  <w:style w:type="character" w:customStyle="1" w:styleId="Char0">
    <w:name w:val="页脚 Char"/>
    <w:basedOn w:val="a0"/>
    <w:link w:val="a7"/>
    <w:uiPriority w:val="99"/>
    <w:semiHidden/>
    <w:rsid w:val="00842EB6"/>
    <w:rPr>
      <w:sz w:val="18"/>
      <w:szCs w:val="18"/>
    </w:rPr>
  </w:style>
  <w:style w:type="character" w:customStyle="1" w:styleId="5Char">
    <w:name w:val="标题 5 Char"/>
    <w:basedOn w:val="a0"/>
    <w:link w:val="5"/>
    <w:uiPriority w:val="9"/>
    <w:semiHidden/>
    <w:rsid w:val="00EF7DD1"/>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94"/>
    <w:pPr>
      <w:widowControl w:val="0"/>
    </w:pPr>
  </w:style>
  <w:style w:type="paragraph" w:styleId="2">
    <w:name w:val="heading 2"/>
    <w:basedOn w:val="a"/>
    <w:link w:val="2Char"/>
    <w:uiPriority w:val="9"/>
    <w:qFormat/>
    <w:rsid w:val="00A06FDE"/>
    <w:pPr>
      <w:widowControl/>
      <w:spacing w:before="100" w:beforeAutospacing="1" w:after="100" w:afterAutospacing="1" w:line="240" w:lineRule="auto"/>
      <w:ind w:firstLineChars="0" w:firstLine="0"/>
      <w:outlineLvl w:val="1"/>
    </w:pPr>
    <w:rPr>
      <w:b/>
      <w:bCs/>
      <w:sz w:val="36"/>
      <w:szCs w:val="36"/>
    </w:rPr>
  </w:style>
  <w:style w:type="paragraph" w:styleId="3">
    <w:name w:val="heading 3"/>
    <w:basedOn w:val="a"/>
    <w:next w:val="a"/>
    <w:link w:val="3Char"/>
    <w:uiPriority w:val="9"/>
    <w:semiHidden/>
    <w:unhideWhenUsed/>
    <w:qFormat/>
    <w:rsid w:val="002C7165"/>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F7DD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06FDE"/>
    <w:rPr>
      <w:b/>
      <w:bCs/>
      <w:sz w:val="36"/>
      <w:szCs w:val="36"/>
    </w:rPr>
  </w:style>
  <w:style w:type="paragraph" w:styleId="a3">
    <w:name w:val="Normal (Web)"/>
    <w:basedOn w:val="a"/>
    <w:uiPriority w:val="99"/>
    <w:unhideWhenUsed/>
    <w:rsid w:val="00A06FDE"/>
    <w:pPr>
      <w:widowControl/>
      <w:spacing w:before="100" w:beforeAutospacing="1" w:after="100" w:afterAutospacing="1" w:line="240" w:lineRule="auto"/>
      <w:ind w:firstLineChars="0" w:firstLine="0"/>
    </w:pPr>
    <w:rPr>
      <w:sz w:val="24"/>
      <w:szCs w:val="24"/>
    </w:rPr>
  </w:style>
  <w:style w:type="character" w:customStyle="1" w:styleId="3Char">
    <w:name w:val="标题 3 Char"/>
    <w:basedOn w:val="a0"/>
    <w:link w:val="3"/>
    <w:uiPriority w:val="9"/>
    <w:semiHidden/>
    <w:rsid w:val="002C7165"/>
    <w:rPr>
      <w:b/>
      <w:bCs/>
      <w:sz w:val="32"/>
      <w:szCs w:val="32"/>
    </w:rPr>
  </w:style>
  <w:style w:type="character" w:styleId="a4">
    <w:name w:val="Strong"/>
    <w:basedOn w:val="a0"/>
    <w:uiPriority w:val="22"/>
    <w:qFormat/>
    <w:rsid w:val="002C7165"/>
    <w:rPr>
      <w:b/>
      <w:bCs/>
    </w:rPr>
  </w:style>
  <w:style w:type="character" w:styleId="a5">
    <w:name w:val="Hyperlink"/>
    <w:basedOn w:val="a0"/>
    <w:uiPriority w:val="99"/>
    <w:semiHidden/>
    <w:unhideWhenUsed/>
    <w:rsid w:val="002C7165"/>
    <w:rPr>
      <w:color w:val="0000FF"/>
      <w:u w:val="single"/>
    </w:rPr>
  </w:style>
  <w:style w:type="paragraph" w:styleId="a6">
    <w:name w:val="header"/>
    <w:basedOn w:val="a"/>
    <w:link w:val="Char"/>
    <w:uiPriority w:val="99"/>
    <w:semiHidden/>
    <w:unhideWhenUsed/>
    <w:rsid w:val="00842E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842EB6"/>
    <w:rPr>
      <w:sz w:val="18"/>
      <w:szCs w:val="18"/>
    </w:rPr>
  </w:style>
  <w:style w:type="paragraph" w:styleId="a7">
    <w:name w:val="footer"/>
    <w:basedOn w:val="a"/>
    <w:link w:val="Char0"/>
    <w:uiPriority w:val="99"/>
    <w:semiHidden/>
    <w:unhideWhenUsed/>
    <w:rsid w:val="00842EB6"/>
    <w:pPr>
      <w:tabs>
        <w:tab w:val="center" w:pos="4153"/>
        <w:tab w:val="right" w:pos="8306"/>
      </w:tabs>
      <w:snapToGrid w:val="0"/>
      <w:spacing w:line="240" w:lineRule="auto"/>
    </w:pPr>
    <w:rPr>
      <w:sz w:val="18"/>
      <w:szCs w:val="18"/>
    </w:rPr>
  </w:style>
  <w:style w:type="character" w:customStyle="1" w:styleId="Char0">
    <w:name w:val="页脚 Char"/>
    <w:basedOn w:val="a0"/>
    <w:link w:val="a7"/>
    <w:uiPriority w:val="99"/>
    <w:semiHidden/>
    <w:rsid w:val="00842EB6"/>
    <w:rPr>
      <w:sz w:val="18"/>
      <w:szCs w:val="18"/>
    </w:rPr>
  </w:style>
  <w:style w:type="character" w:customStyle="1" w:styleId="5Char">
    <w:name w:val="标题 5 Char"/>
    <w:basedOn w:val="a0"/>
    <w:link w:val="5"/>
    <w:uiPriority w:val="9"/>
    <w:semiHidden/>
    <w:rsid w:val="00EF7DD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9337">
      <w:bodyDiv w:val="1"/>
      <w:marLeft w:val="0"/>
      <w:marRight w:val="0"/>
      <w:marTop w:val="0"/>
      <w:marBottom w:val="0"/>
      <w:divBdr>
        <w:top w:val="none" w:sz="0" w:space="0" w:color="auto"/>
        <w:left w:val="none" w:sz="0" w:space="0" w:color="auto"/>
        <w:bottom w:val="none" w:sz="0" w:space="0" w:color="auto"/>
        <w:right w:val="none" w:sz="0" w:space="0" w:color="auto"/>
      </w:divBdr>
    </w:div>
    <w:div w:id="237591569">
      <w:bodyDiv w:val="1"/>
      <w:marLeft w:val="0"/>
      <w:marRight w:val="0"/>
      <w:marTop w:val="0"/>
      <w:marBottom w:val="0"/>
      <w:divBdr>
        <w:top w:val="none" w:sz="0" w:space="0" w:color="auto"/>
        <w:left w:val="none" w:sz="0" w:space="0" w:color="auto"/>
        <w:bottom w:val="none" w:sz="0" w:space="0" w:color="auto"/>
        <w:right w:val="none" w:sz="0" w:space="0" w:color="auto"/>
      </w:divBdr>
    </w:div>
    <w:div w:id="568659977">
      <w:bodyDiv w:val="1"/>
      <w:marLeft w:val="0"/>
      <w:marRight w:val="0"/>
      <w:marTop w:val="0"/>
      <w:marBottom w:val="0"/>
      <w:divBdr>
        <w:top w:val="none" w:sz="0" w:space="0" w:color="auto"/>
        <w:left w:val="none" w:sz="0" w:space="0" w:color="auto"/>
        <w:bottom w:val="none" w:sz="0" w:space="0" w:color="auto"/>
        <w:right w:val="none" w:sz="0" w:space="0" w:color="auto"/>
      </w:divBdr>
      <w:divsChild>
        <w:div w:id="321587646">
          <w:marLeft w:val="0"/>
          <w:marRight w:val="0"/>
          <w:marTop w:val="0"/>
          <w:marBottom w:val="0"/>
          <w:divBdr>
            <w:top w:val="none" w:sz="0" w:space="0" w:color="auto"/>
            <w:left w:val="none" w:sz="0" w:space="0" w:color="auto"/>
            <w:bottom w:val="none" w:sz="0" w:space="0" w:color="auto"/>
            <w:right w:val="none" w:sz="0" w:space="0" w:color="auto"/>
          </w:divBdr>
        </w:div>
        <w:div w:id="1612317577">
          <w:marLeft w:val="0"/>
          <w:marRight w:val="0"/>
          <w:marTop w:val="0"/>
          <w:marBottom w:val="0"/>
          <w:divBdr>
            <w:top w:val="none" w:sz="0" w:space="0" w:color="auto"/>
            <w:left w:val="none" w:sz="0" w:space="0" w:color="auto"/>
            <w:bottom w:val="none" w:sz="0" w:space="0" w:color="auto"/>
            <w:right w:val="none" w:sz="0" w:space="0" w:color="auto"/>
          </w:divBdr>
          <w:divsChild>
            <w:div w:id="896664522">
              <w:marLeft w:val="0"/>
              <w:marRight w:val="0"/>
              <w:marTop w:val="0"/>
              <w:marBottom w:val="0"/>
              <w:divBdr>
                <w:top w:val="none" w:sz="0" w:space="0" w:color="auto"/>
                <w:left w:val="none" w:sz="0" w:space="0" w:color="auto"/>
                <w:bottom w:val="none" w:sz="0" w:space="0" w:color="auto"/>
                <w:right w:val="none" w:sz="0" w:space="0" w:color="auto"/>
              </w:divBdr>
              <w:divsChild>
                <w:div w:id="380789601">
                  <w:marLeft w:val="0"/>
                  <w:marRight w:val="0"/>
                  <w:marTop w:val="0"/>
                  <w:marBottom w:val="0"/>
                  <w:divBdr>
                    <w:top w:val="none" w:sz="0" w:space="0" w:color="auto"/>
                    <w:left w:val="none" w:sz="0" w:space="0" w:color="auto"/>
                    <w:bottom w:val="none" w:sz="0" w:space="0" w:color="auto"/>
                    <w:right w:val="none" w:sz="0" w:space="0" w:color="auto"/>
                  </w:divBdr>
                  <w:divsChild>
                    <w:div w:id="139881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665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6328">
      <w:bodyDiv w:val="1"/>
      <w:marLeft w:val="0"/>
      <w:marRight w:val="0"/>
      <w:marTop w:val="0"/>
      <w:marBottom w:val="0"/>
      <w:divBdr>
        <w:top w:val="none" w:sz="0" w:space="0" w:color="auto"/>
        <w:left w:val="none" w:sz="0" w:space="0" w:color="auto"/>
        <w:bottom w:val="none" w:sz="0" w:space="0" w:color="auto"/>
        <w:right w:val="none" w:sz="0" w:space="0" w:color="auto"/>
      </w:divBdr>
    </w:div>
    <w:div w:id="1049110231">
      <w:bodyDiv w:val="1"/>
      <w:marLeft w:val="0"/>
      <w:marRight w:val="0"/>
      <w:marTop w:val="0"/>
      <w:marBottom w:val="0"/>
      <w:divBdr>
        <w:top w:val="none" w:sz="0" w:space="0" w:color="auto"/>
        <w:left w:val="none" w:sz="0" w:space="0" w:color="auto"/>
        <w:bottom w:val="none" w:sz="0" w:space="0" w:color="auto"/>
        <w:right w:val="none" w:sz="0" w:space="0" w:color="auto"/>
      </w:divBdr>
    </w:div>
    <w:div w:id="1128275568">
      <w:bodyDiv w:val="1"/>
      <w:marLeft w:val="0"/>
      <w:marRight w:val="0"/>
      <w:marTop w:val="0"/>
      <w:marBottom w:val="0"/>
      <w:divBdr>
        <w:top w:val="none" w:sz="0" w:space="0" w:color="auto"/>
        <w:left w:val="none" w:sz="0" w:space="0" w:color="auto"/>
        <w:bottom w:val="none" w:sz="0" w:space="0" w:color="auto"/>
        <w:right w:val="none" w:sz="0" w:space="0" w:color="auto"/>
      </w:divBdr>
      <w:divsChild>
        <w:div w:id="1101530524">
          <w:marLeft w:val="0"/>
          <w:marRight w:val="0"/>
          <w:marTop w:val="0"/>
          <w:marBottom w:val="0"/>
          <w:divBdr>
            <w:top w:val="none" w:sz="0" w:space="0" w:color="auto"/>
            <w:left w:val="none" w:sz="0" w:space="0" w:color="auto"/>
            <w:bottom w:val="none" w:sz="0" w:space="0" w:color="auto"/>
            <w:right w:val="none" w:sz="0" w:space="0" w:color="auto"/>
          </w:divBdr>
          <w:divsChild>
            <w:div w:id="1670524736">
              <w:marLeft w:val="0"/>
              <w:marRight w:val="0"/>
              <w:marTop w:val="0"/>
              <w:marBottom w:val="0"/>
              <w:divBdr>
                <w:top w:val="none" w:sz="0" w:space="0" w:color="auto"/>
                <w:left w:val="none" w:sz="0" w:space="0" w:color="auto"/>
                <w:bottom w:val="none" w:sz="0" w:space="0" w:color="auto"/>
                <w:right w:val="none" w:sz="0" w:space="0" w:color="auto"/>
              </w:divBdr>
              <w:divsChild>
                <w:div w:id="1077092480">
                  <w:marLeft w:val="0"/>
                  <w:marRight w:val="0"/>
                  <w:marTop w:val="0"/>
                  <w:marBottom w:val="0"/>
                  <w:divBdr>
                    <w:top w:val="none" w:sz="0" w:space="0" w:color="auto"/>
                    <w:left w:val="none" w:sz="0" w:space="0" w:color="auto"/>
                    <w:bottom w:val="none" w:sz="0" w:space="0" w:color="auto"/>
                    <w:right w:val="none" w:sz="0" w:space="0" w:color="auto"/>
                  </w:divBdr>
                  <w:divsChild>
                    <w:div w:id="5506557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42845846">
      <w:bodyDiv w:val="1"/>
      <w:marLeft w:val="0"/>
      <w:marRight w:val="0"/>
      <w:marTop w:val="0"/>
      <w:marBottom w:val="0"/>
      <w:divBdr>
        <w:top w:val="none" w:sz="0" w:space="0" w:color="auto"/>
        <w:left w:val="none" w:sz="0" w:space="0" w:color="auto"/>
        <w:bottom w:val="none" w:sz="0" w:space="0" w:color="auto"/>
        <w:right w:val="none" w:sz="0" w:space="0" w:color="auto"/>
      </w:divBdr>
    </w:div>
    <w:div w:id="1206866355">
      <w:bodyDiv w:val="1"/>
      <w:marLeft w:val="0"/>
      <w:marRight w:val="0"/>
      <w:marTop w:val="0"/>
      <w:marBottom w:val="0"/>
      <w:divBdr>
        <w:top w:val="none" w:sz="0" w:space="0" w:color="auto"/>
        <w:left w:val="none" w:sz="0" w:space="0" w:color="auto"/>
        <w:bottom w:val="none" w:sz="0" w:space="0" w:color="auto"/>
        <w:right w:val="none" w:sz="0" w:space="0" w:color="auto"/>
      </w:divBdr>
      <w:divsChild>
        <w:div w:id="890843244">
          <w:marLeft w:val="0"/>
          <w:marRight w:val="0"/>
          <w:marTop w:val="0"/>
          <w:marBottom w:val="0"/>
          <w:divBdr>
            <w:top w:val="none" w:sz="0" w:space="0" w:color="auto"/>
            <w:left w:val="none" w:sz="0" w:space="0" w:color="auto"/>
            <w:bottom w:val="none" w:sz="0" w:space="0" w:color="auto"/>
            <w:right w:val="none" w:sz="0" w:space="0" w:color="auto"/>
          </w:divBdr>
          <w:divsChild>
            <w:div w:id="74670715">
              <w:marLeft w:val="0"/>
              <w:marRight w:val="0"/>
              <w:marTop w:val="0"/>
              <w:marBottom w:val="0"/>
              <w:divBdr>
                <w:top w:val="none" w:sz="0" w:space="0" w:color="auto"/>
                <w:left w:val="none" w:sz="0" w:space="0" w:color="auto"/>
                <w:bottom w:val="none" w:sz="0" w:space="0" w:color="auto"/>
                <w:right w:val="none" w:sz="0" w:space="0" w:color="auto"/>
              </w:divBdr>
              <w:divsChild>
                <w:div w:id="10868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12190">
      <w:bodyDiv w:val="1"/>
      <w:marLeft w:val="0"/>
      <w:marRight w:val="0"/>
      <w:marTop w:val="0"/>
      <w:marBottom w:val="0"/>
      <w:divBdr>
        <w:top w:val="none" w:sz="0" w:space="0" w:color="auto"/>
        <w:left w:val="none" w:sz="0" w:space="0" w:color="auto"/>
        <w:bottom w:val="none" w:sz="0" w:space="0" w:color="auto"/>
        <w:right w:val="none" w:sz="0" w:space="0" w:color="auto"/>
      </w:divBdr>
      <w:divsChild>
        <w:div w:id="1008025860">
          <w:marLeft w:val="0"/>
          <w:marRight w:val="0"/>
          <w:marTop w:val="0"/>
          <w:marBottom w:val="0"/>
          <w:divBdr>
            <w:top w:val="none" w:sz="0" w:space="0" w:color="auto"/>
            <w:left w:val="none" w:sz="0" w:space="0" w:color="auto"/>
            <w:bottom w:val="none" w:sz="0" w:space="0" w:color="auto"/>
            <w:right w:val="none" w:sz="0" w:space="0" w:color="auto"/>
          </w:divBdr>
          <w:divsChild>
            <w:div w:id="919682314">
              <w:marLeft w:val="0"/>
              <w:marRight w:val="0"/>
              <w:marTop w:val="0"/>
              <w:marBottom w:val="0"/>
              <w:divBdr>
                <w:top w:val="none" w:sz="0" w:space="0" w:color="auto"/>
                <w:left w:val="none" w:sz="0" w:space="0" w:color="auto"/>
                <w:bottom w:val="none" w:sz="0" w:space="0" w:color="auto"/>
                <w:right w:val="none" w:sz="0" w:space="0" w:color="auto"/>
              </w:divBdr>
              <w:divsChild>
                <w:div w:id="45876913">
                  <w:marLeft w:val="0"/>
                  <w:marRight w:val="0"/>
                  <w:marTop w:val="0"/>
                  <w:marBottom w:val="0"/>
                  <w:divBdr>
                    <w:top w:val="none" w:sz="0" w:space="0" w:color="auto"/>
                    <w:left w:val="none" w:sz="0" w:space="0" w:color="auto"/>
                    <w:bottom w:val="none" w:sz="0" w:space="0" w:color="auto"/>
                    <w:right w:val="none" w:sz="0" w:space="0" w:color="auto"/>
                  </w:divBdr>
                  <w:divsChild>
                    <w:div w:id="985354936">
                      <w:marLeft w:val="0"/>
                      <w:marRight w:val="0"/>
                      <w:marTop w:val="0"/>
                      <w:marBottom w:val="0"/>
                      <w:divBdr>
                        <w:top w:val="none" w:sz="0" w:space="0" w:color="auto"/>
                        <w:left w:val="none" w:sz="0" w:space="0" w:color="auto"/>
                        <w:bottom w:val="none" w:sz="0" w:space="0" w:color="auto"/>
                        <w:right w:val="none" w:sz="0" w:space="0" w:color="auto"/>
                      </w:divBdr>
                      <w:divsChild>
                        <w:div w:id="9296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75328">
      <w:bodyDiv w:val="1"/>
      <w:marLeft w:val="0"/>
      <w:marRight w:val="0"/>
      <w:marTop w:val="0"/>
      <w:marBottom w:val="0"/>
      <w:divBdr>
        <w:top w:val="none" w:sz="0" w:space="0" w:color="auto"/>
        <w:left w:val="none" w:sz="0" w:space="0" w:color="auto"/>
        <w:bottom w:val="none" w:sz="0" w:space="0" w:color="auto"/>
        <w:right w:val="none" w:sz="0" w:space="0" w:color="auto"/>
      </w:divBdr>
    </w:div>
    <w:div w:id="1761412595">
      <w:bodyDiv w:val="1"/>
      <w:marLeft w:val="0"/>
      <w:marRight w:val="0"/>
      <w:marTop w:val="0"/>
      <w:marBottom w:val="0"/>
      <w:divBdr>
        <w:top w:val="none" w:sz="0" w:space="0" w:color="auto"/>
        <w:left w:val="none" w:sz="0" w:space="0" w:color="auto"/>
        <w:bottom w:val="none" w:sz="0" w:space="0" w:color="auto"/>
        <w:right w:val="none" w:sz="0" w:space="0" w:color="auto"/>
      </w:divBdr>
      <w:divsChild>
        <w:div w:id="306908220">
          <w:marLeft w:val="0"/>
          <w:marRight w:val="0"/>
          <w:marTop w:val="0"/>
          <w:marBottom w:val="0"/>
          <w:divBdr>
            <w:top w:val="none" w:sz="0" w:space="0" w:color="auto"/>
            <w:left w:val="none" w:sz="0" w:space="0" w:color="auto"/>
            <w:bottom w:val="none" w:sz="0" w:space="0" w:color="auto"/>
            <w:right w:val="none" w:sz="0" w:space="0" w:color="auto"/>
          </w:divBdr>
          <w:divsChild>
            <w:div w:id="330253441">
              <w:marLeft w:val="0"/>
              <w:marRight w:val="0"/>
              <w:marTop w:val="0"/>
              <w:marBottom w:val="0"/>
              <w:divBdr>
                <w:top w:val="none" w:sz="0" w:space="0" w:color="auto"/>
                <w:left w:val="none" w:sz="0" w:space="0" w:color="auto"/>
                <w:bottom w:val="none" w:sz="0" w:space="0" w:color="auto"/>
                <w:right w:val="none" w:sz="0" w:space="0" w:color="auto"/>
              </w:divBdr>
              <w:divsChild>
                <w:div w:id="178668129">
                  <w:marLeft w:val="0"/>
                  <w:marRight w:val="0"/>
                  <w:marTop w:val="0"/>
                  <w:marBottom w:val="0"/>
                  <w:divBdr>
                    <w:top w:val="none" w:sz="0" w:space="0" w:color="auto"/>
                    <w:left w:val="none" w:sz="0" w:space="0" w:color="auto"/>
                    <w:bottom w:val="none" w:sz="0" w:space="0" w:color="auto"/>
                    <w:right w:val="none" w:sz="0" w:space="0" w:color="auto"/>
                  </w:divBdr>
                  <w:divsChild>
                    <w:div w:id="587272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2025-12-31T06:52:00Z</dcterms:created>
  <dcterms:modified xsi:type="dcterms:W3CDTF">2025-12-31T06:52:00Z</dcterms:modified>
</cp:coreProperties>
</file>