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7D" w:rsidRDefault="00721BDF" w:rsidP="00721BDF">
      <w:pPr>
        <w:pStyle w:val="a3"/>
        <w:shd w:val="clear" w:color="auto" w:fill="FFFFFF"/>
        <w:spacing w:before="0" w:beforeAutospacing="0" w:after="0" w:afterAutospacing="0" w:line="360" w:lineRule="auto"/>
        <w:jc w:val="center"/>
        <w:rPr>
          <w:rFonts w:hint="eastAsia"/>
          <w:b/>
          <w:bCs/>
          <w:color w:val="333333"/>
        </w:rPr>
      </w:pPr>
      <w:bookmarkStart w:id="0" w:name="_GoBack"/>
      <w:r>
        <w:rPr>
          <w:rFonts w:hint="eastAsia"/>
          <w:b/>
          <w:bCs/>
          <w:color w:val="333333"/>
        </w:rPr>
        <w:t>中央国家机关所属垂直管理机构 派出机构</w:t>
      </w:r>
    </w:p>
    <w:p w:rsidR="00721BDF" w:rsidRDefault="00721BDF" w:rsidP="00721BDF">
      <w:pPr>
        <w:pStyle w:val="a3"/>
        <w:shd w:val="clear" w:color="auto" w:fill="FFFFFF"/>
        <w:spacing w:before="0" w:beforeAutospacing="0" w:after="0" w:afterAutospacing="0" w:line="360" w:lineRule="auto"/>
        <w:jc w:val="center"/>
        <w:rPr>
          <w:color w:val="333333"/>
        </w:rPr>
      </w:pPr>
      <w:r>
        <w:rPr>
          <w:rFonts w:hint="eastAsia"/>
          <w:b/>
          <w:bCs/>
          <w:color w:val="333333"/>
        </w:rPr>
        <w:t>公务用车管理办法（试行）</w:t>
      </w:r>
      <w:bookmarkEnd w:id="0"/>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第一条 </w:t>
      </w:r>
      <w:r>
        <w:rPr>
          <w:rFonts w:hint="eastAsia"/>
          <w:color w:val="333333"/>
        </w:rPr>
        <w:t>为了进一步规范和加强中央国家机关所属垂直管理机构、派出机构公务用车管理，巩固公务用车制度改革成果，根据《党政机关公务用车管理办法》（中办发〔2017〕71号）等有关规定，制定本办法。</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第二条</w:t>
      </w:r>
      <w:r>
        <w:rPr>
          <w:rFonts w:hint="eastAsia"/>
          <w:color w:val="333333"/>
        </w:rPr>
        <w:t> 本办法适用于中央国家机关所属垂直管理机构、派出机构（以下统称垂管派出机构）的公务用车管理。</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第三条</w:t>
      </w:r>
      <w:r>
        <w:rPr>
          <w:rFonts w:hint="eastAsia"/>
          <w:color w:val="333333"/>
        </w:rPr>
        <w:t> 垂管派出机构公务用车按系统实行统一制度规范、分级分类管理。行政主管部门负责管理所属垂管派出机构公务用车，垂管派出机构负责本机构公务用车日常管理。</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第四条</w:t>
      </w:r>
      <w:r>
        <w:rPr>
          <w:rFonts w:hint="eastAsia"/>
          <w:color w:val="333333"/>
        </w:rPr>
        <w:t> 垂管派出机构公务出行应当坚持社会化、向社会购买服务的方向；公务用车编制根据机构设置、人员编制和工作需要等因素确定。</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在京垂管派出机构公务用车编制由行政主管部门审核提出意见，报国家机关事务管理局（以下简称国管局）批准；京外垂管派出机构公务用车编制由行政主管部门核定，报国管局备案。</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垂管派出机构因新设立或者人员编制、工作职责增加，确需核</w:t>
      </w:r>
      <w:proofErr w:type="gramStart"/>
      <w:r>
        <w:rPr>
          <w:rFonts w:hint="eastAsia"/>
          <w:color w:val="333333"/>
        </w:rPr>
        <w:t>增车辆</w:t>
      </w:r>
      <w:proofErr w:type="gramEnd"/>
      <w:r>
        <w:rPr>
          <w:rFonts w:hint="eastAsia"/>
          <w:color w:val="333333"/>
        </w:rPr>
        <w:t>编制的，由行政主管部门审核提出意见，报国管局批准。</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执法执勤用车、特种专业技术用车编制核定按照《党政机关公务用车管理办法》有关规定办理。</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第五条</w:t>
      </w:r>
      <w:r>
        <w:rPr>
          <w:rFonts w:hint="eastAsia"/>
          <w:color w:val="333333"/>
        </w:rPr>
        <w:t> 垂管派出机构应当严格执行公务用车配备标准，实行“处置一辆、更新一辆”原则。</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在京垂管派出机构公务用车配备更新，由行政主管部门审核后报国管局批准，具体程序及要求按照《在京中央和国家机关公务用车指标管理办法》（</w:t>
      </w:r>
      <w:proofErr w:type="gramStart"/>
      <w:r>
        <w:rPr>
          <w:rFonts w:hint="eastAsia"/>
          <w:color w:val="333333"/>
        </w:rPr>
        <w:t>国管资〔2011〕</w:t>
      </w:r>
      <w:proofErr w:type="gramEnd"/>
      <w:r>
        <w:rPr>
          <w:rFonts w:hint="eastAsia"/>
          <w:color w:val="333333"/>
        </w:rPr>
        <w:t>167号）执行。京外垂管派出机构公务用车配备更新，由行政主管部门按程序审批后，按照属地公务用车管理相关政策要求办理车辆注册登记等手续；其中，确因工作需要超出规定标准配车或者配越野车（含SUV）的，应当报国管局备案。</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配备更新公务用车涉及资产管理相关事宜的，应当按照有关规定办理。</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lastRenderedPageBreak/>
        <w:t>第六条</w:t>
      </w:r>
      <w:r>
        <w:rPr>
          <w:rFonts w:hint="eastAsia"/>
          <w:color w:val="333333"/>
        </w:rPr>
        <w:t> 垂管派出机构应当加强公务用车集中统一管理，严格按照规定使用公务用车。</w:t>
      </w:r>
    </w:p>
    <w:p w:rsidR="00721BDF" w:rsidRDefault="00721BDF" w:rsidP="00721BDF">
      <w:pPr>
        <w:pStyle w:val="a3"/>
        <w:shd w:val="clear" w:color="auto" w:fill="FFFFFF"/>
        <w:spacing w:before="140" w:beforeAutospacing="0" w:after="0" w:afterAutospacing="0" w:line="360" w:lineRule="auto"/>
        <w:ind w:firstLine="480"/>
        <w:rPr>
          <w:color w:val="333333"/>
        </w:rPr>
      </w:pPr>
      <w:r>
        <w:rPr>
          <w:rFonts w:hint="eastAsia"/>
          <w:color w:val="333333"/>
        </w:rPr>
        <w:t>行政主管部门应当通过信息化等手段，加强对所属垂管派出机构公务用车管理、使用情况的监督检查。</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第七条</w:t>
      </w:r>
      <w:r>
        <w:rPr>
          <w:rFonts w:hint="eastAsia"/>
          <w:color w:val="333333"/>
        </w:rPr>
        <w:t> 垂管派出机构按照规定更新公务用车时，应当先通过中央行政事业单位国有资产处置平台处置旧车；其中，京外垂管派出机构车辆可以通过属地公务用车主管部门按程序确定的车辆处置机构处置。</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第八条</w:t>
      </w:r>
      <w:r>
        <w:rPr>
          <w:rFonts w:hint="eastAsia"/>
          <w:color w:val="333333"/>
        </w:rPr>
        <w:t> 行政主管部门按要求组织所属垂管派出机构开展年度公务用车管理情况统计报告工作，汇总、审核本系统公务用车管理情况，编制年度统计报告</w:t>
      </w:r>
      <w:proofErr w:type="gramStart"/>
      <w:r>
        <w:rPr>
          <w:rFonts w:hint="eastAsia"/>
          <w:color w:val="333333"/>
        </w:rPr>
        <w:t>报送国</w:t>
      </w:r>
      <w:proofErr w:type="gramEnd"/>
      <w:r>
        <w:rPr>
          <w:rFonts w:hint="eastAsia"/>
          <w:color w:val="333333"/>
        </w:rPr>
        <w:t>管局。</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第九条</w:t>
      </w:r>
      <w:r>
        <w:rPr>
          <w:rFonts w:hint="eastAsia"/>
          <w:color w:val="333333"/>
        </w:rPr>
        <w:t> 国管局应当加强对垂管派出机构公务用车管理的指导监督，及时通报发现的各类违规问题，将相关工作开展情况纳入中央行政事业单位国有资产管理绩效评价范围。</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第十条</w:t>
      </w:r>
      <w:r>
        <w:rPr>
          <w:rFonts w:hint="eastAsia"/>
          <w:color w:val="333333"/>
        </w:rPr>
        <w:t> 垂管派出机构公务用车管理涉及国家安全、侦查办案等有保密要求的，按照《党政机关公务用车管理办法》等相关规定执行。</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第十一条 </w:t>
      </w:r>
      <w:r>
        <w:rPr>
          <w:rFonts w:hint="eastAsia"/>
          <w:color w:val="333333"/>
        </w:rPr>
        <w:t>行政主管部门应当根据《党政机关公务用车管理办法》及本办法，结合实际制定本部门所属垂管派出机构公务用车管理实施细则。</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第十二条</w:t>
      </w:r>
      <w:r>
        <w:rPr>
          <w:rFonts w:hint="eastAsia"/>
          <w:color w:val="333333"/>
        </w:rPr>
        <w:t> 本办法由国管局负责解释。</w:t>
      </w:r>
    </w:p>
    <w:p w:rsidR="00721BDF" w:rsidRDefault="00721BDF" w:rsidP="00721BDF">
      <w:pPr>
        <w:pStyle w:val="a3"/>
        <w:shd w:val="clear" w:color="auto" w:fill="FFFFFF"/>
        <w:spacing w:before="0" w:beforeAutospacing="0" w:after="0" w:afterAutospacing="0" w:line="360" w:lineRule="auto"/>
        <w:ind w:firstLine="480"/>
        <w:rPr>
          <w:color w:val="333333"/>
        </w:rPr>
      </w:pPr>
      <w:r>
        <w:rPr>
          <w:rFonts w:hint="eastAsia"/>
          <w:b/>
          <w:bCs/>
          <w:color w:val="333333"/>
        </w:rPr>
        <w:t>第十三条 </w:t>
      </w:r>
      <w:r>
        <w:rPr>
          <w:rFonts w:hint="eastAsia"/>
          <w:color w:val="333333"/>
        </w:rPr>
        <w:t>本办法自印发之日起施行。</w:t>
      </w:r>
    </w:p>
    <w:p w:rsidR="00364B8E" w:rsidRDefault="00364B8E" w:rsidP="00721BDF">
      <w:pPr>
        <w:pStyle w:val="a3"/>
        <w:spacing w:after="240" w:afterAutospacing="0" w:line="360" w:lineRule="auto"/>
        <w:jc w:val="center"/>
        <w:rPr>
          <w:rFonts w:ascii="微软雅黑" w:eastAsia="微软雅黑" w:hAnsi="微软雅黑" w:cs="微软雅黑"/>
        </w:rPr>
      </w:pPr>
    </w:p>
    <w:sectPr w:rsidR="00364B8E" w:rsidSect="00364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15" w:rsidRDefault="00422E15" w:rsidP="005A4D7D">
      <w:r>
        <w:separator/>
      </w:r>
    </w:p>
  </w:endnote>
  <w:endnote w:type="continuationSeparator" w:id="0">
    <w:p w:rsidR="00422E15" w:rsidRDefault="00422E15" w:rsidP="005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15" w:rsidRDefault="00422E15" w:rsidP="005A4D7D">
      <w:r>
        <w:separator/>
      </w:r>
    </w:p>
  </w:footnote>
  <w:footnote w:type="continuationSeparator" w:id="0">
    <w:p w:rsidR="00422E15" w:rsidRDefault="00422E15" w:rsidP="005A4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FA"/>
    <w:rsid w:val="000236FA"/>
    <w:rsid w:val="00250323"/>
    <w:rsid w:val="00364B8E"/>
    <w:rsid w:val="00422E15"/>
    <w:rsid w:val="0045186A"/>
    <w:rsid w:val="004864A4"/>
    <w:rsid w:val="00550B4B"/>
    <w:rsid w:val="00573E61"/>
    <w:rsid w:val="005A4D7D"/>
    <w:rsid w:val="00721BDF"/>
    <w:rsid w:val="0074779C"/>
    <w:rsid w:val="00DA0094"/>
    <w:rsid w:val="137E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8E"/>
    <w:pPr>
      <w:widowControl w:val="0"/>
      <w:jc w:val="both"/>
    </w:pPr>
    <w:rPr>
      <w:sz w:val="21"/>
      <w:szCs w:val="22"/>
    </w:rPr>
  </w:style>
  <w:style w:type="paragraph" w:styleId="1">
    <w:name w:val="heading 1"/>
    <w:basedOn w:val="a"/>
    <w:link w:val="1Char"/>
    <w:uiPriority w:val="9"/>
    <w:qFormat/>
    <w:rsid w:val="00721BDF"/>
    <w:pPr>
      <w:widowControl/>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B8E"/>
    <w:pPr>
      <w:widowControl/>
      <w:spacing w:before="100" w:beforeAutospacing="1" w:after="100" w:afterAutospacing="1"/>
      <w:jc w:val="left"/>
    </w:pPr>
    <w:rPr>
      <w:sz w:val="24"/>
      <w:szCs w:val="24"/>
    </w:rPr>
  </w:style>
  <w:style w:type="character" w:styleId="a4">
    <w:name w:val="Strong"/>
    <w:basedOn w:val="a0"/>
    <w:uiPriority w:val="22"/>
    <w:qFormat/>
    <w:rsid w:val="00364B8E"/>
    <w:rPr>
      <w:b/>
      <w:bCs/>
    </w:rPr>
  </w:style>
  <w:style w:type="character" w:customStyle="1" w:styleId="1Char">
    <w:name w:val="标题 1 Char"/>
    <w:basedOn w:val="a0"/>
    <w:link w:val="1"/>
    <w:uiPriority w:val="9"/>
    <w:rsid w:val="00721BDF"/>
    <w:rPr>
      <w:b/>
      <w:bCs/>
      <w:kern w:val="36"/>
      <w:sz w:val="48"/>
      <w:szCs w:val="48"/>
    </w:rPr>
  </w:style>
  <w:style w:type="paragraph" w:styleId="a5">
    <w:name w:val="header"/>
    <w:basedOn w:val="a"/>
    <w:link w:val="Char"/>
    <w:uiPriority w:val="99"/>
    <w:unhideWhenUsed/>
    <w:rsid w:val="005A4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D7D"/>
    <w:rPr>
      <w:sz w:val="18"/>
      <w:szCs w:val="18"/>
    </w:rPr>
  </w:style>
  <w:style w:type="paragraph" w:styleId="a6">
    <w:name w:val="footer"/>
    <w:basedOn w:val="a"/>
    <w:link w:val="Char0"/>
    <w:uiPriority w:val="99"/>
    <w:unhideWhenUsed/>
    <w:rsid w:val="005A4D7D"/>
    <w:pPr>
      <w:tabs>
        <w:tab w:val="center" w:pos="4153"/>
        <w:tab w:val="right" w:pos="8306"/>
      </w:tabs>
      <w:snapToGrid w:val="0"/>
      <w:jc w:val="left"/>
    </w:pPr>
    <w:rPr>
      <w:sz w:val="18"/>
      <w:szCs w:val="18"/>
    </w:rPr>
  </w:style>
  <w:style w:type="character" w:customStyle="1" w:styleId="Char0">
    <w:name w:val="页脚 Char"/>
    <w:basedOn w:val="a0"/>
    <w:link w:val="a6"/>
    <w:uiPriority w:val="99"/>
    <w:rsid w:val="005A4D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8E"/>
    <w:pPr>
      <w:widowControl w:val="0"/>
      <w:jc w:val="both"/>
    </w:pPr>
    <w:rPr>
      <w:sz w:val="21"/>
      <w:szCs w:val="22"/>
    </w:rPr>
  </w:style>
  <w:style w:type="paragraph" w:styleId="1">
    <w:name w:val="heading 1"/>
    <w:basedOn w:val="a"/>
    <w:link w:val="1Char"/>
    <w:uiPriority w:val="9"/>
    <w:qFormat/>
    <w:rsid w:val="00721BDF"/>
    <w:pPr>
      <w:widowControl/>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B8E"/>
    <w:pPr>
      <w:widowControl/>
      <w:spacing w:before="100" w:beforeAutospacing="1" w:after="100" w:afterAutospacing="1"/>
      <w:jc w:val="left"/>
    </w:pPr>
    <w:rPr>
      <w:sz w:val="24"/>
      <w:szCs w:val="24"/>
    </w:rPr>
  </w:style>
  <w:style w:type="character" w:styleId="a4">
    <w:name w:val="Strong"/>
    <w:basedOn w:val="a0"/>
    <w:uiPriority w:val="22"/>
    <w:qFormat/>
    <w:rsid w:val="00364B8E"/>
    <w:rPr>
      <w:b/>
      <w:bCs/>
    </w:rPr>
  </w:style>
  <w:style w:type="character" w:customStyle="1" w:styleId="1Char">
    <w:name w:val="标题 1 Char"/>
    <w:basedOn w:val="a0"/>
    <w:link w:val="1"/>
    <w:uiPriority w:val="9"/>
    <w:rsid w:val="00721BDF"/>
    <w:rPr>
      <w:b/>
      <w:bCs/>
      <w:kern w:val="36"/>
      <w:sz w:val="48"/>
      <w:szCs w:val="48"/>
    </w:rPr>
  </w:style>
  <w:style w:type="paragraph" w:styleId="a5">
    <w:name w:val="header"/>
    <w:basedOn w:val="a"/>
    <w:link w:val="Char"/>
    <w:uiPriority w:val="99"/>
    <w:unhideWhenUsed/>
    <w:rsid w:val="005A4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D7D"/>
    <w:rPr>
      <w:sz w:val="18"/>
      <w:szCs w:val="18"/>
    </w:rPr>
  </w:style>
  <w:style w:type="paragraph" w:styleId="a6">
    <w:name w:val="footer"/>
    <w:basedOn w:val="a"/>
    <w:link w:val="Char0"/>
    <w:uiPriority w:val="99"/>
    <w:unhideWhenUsed/>
    <w:rsid w:val="005A4D7D"/>
    <w:pPr>
      <w:tabs>
        <w:tab w:val="center" w:pos="4153"/>
        <w:tab w:val="right" w:pos="8306"/>
      </w:tabs>
      <w:snapToGrid w:val="0"/>
      <w:jc w:val="left"/>
    </w:pPr>
    <w:rPr>
      <w:sz w:val="18"/>
      <w:szCs w:val="18"/>
    </w:rPr>
  </w:style>
  <w:style w:type="character" w:customStyle="1" w:styleId="Char0">
    <w:name w:val="页脚 Char"/>
    <w:basedOn w:val="a0"/>
    <w:link w:val="a6"/>
    <w:uiPriority w:val="99"/>
    <w:rsid w:val="005A4D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1464">
      <w:bodyDiv w:val="1"/>
      <w:marLeft w:val="0"/>
      <w:marRight w:val="0"/>
      <w:marTop w:val="0"/>
      <w:marBottom w:val="0"/>
      <w:divBdr>
        <w:top w:val="none" w:sz="0" w:space="0" w:color="auto"/>
        <w:left w:val="none" w:sz="0" w:space="0" w:color="auto"/>
        <w:bottom w:val="none" w:sz="0" w:space="0" w:color="auto"/>
        <w:right w:val="none" w:sz="0" w:space="0" w:color="auto"/>
      </w:divBdr>
    </w:div>
    <w:div w:id="144534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JTKJXH</cp:lastModifiedBy>
  <cp:revision>2</cp:revision>
  <dcterms:created xsi:type="dcterms:W3CDTF">2020-01-03T11:44:00Z</dcterms:created>
  <dcterms:modified xsi:type="dcterms:W3CDTF">2020-01-03T11:44:00Z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