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5A" w:rsidRDefault="00950238">
      <w:pPr>
        <w:rPr>
          <w:rFonts w:ascii="仿宋_GB2312" w:eastAsia="仿宋_GB2312" w:hAnsi="Arial Narrow"/>
          <w:bCs/>
          <w:sz w:val="30"/>
          <w:szCs w:val="30"/>
        </w:rPr>
      </w:pPr>
      <w:r>
        <w:rPr>
          <w:rFonts w:ascii="仿宋_GB2312" w:eastAsia="仿宋_GB2312" w:hAnsi="Arial Narrow" w:hint="eastAsia"/>
          <w:bCs/>
          <w:sz w:val="30"/>
          <w:szCs w:val="30"/>
        </w:rPr>
        <w:t>附件2：</w:t>
      </w:r>
    </w:p>
    <w:p w:rsidR="003B225A" w:rsidRDefault="003B225A">
      <w:pPr>
        <w:spacing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2C76D3" w:rsidRDefault="00950238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C76D3">
        <w:rPr>
          <w:rFonts w:ascii="华文中宋" w:eastAsia="华文中宋" w:hAnsi="华文中宋" w:hint="eastAsia"/>
          <w:b/>
          <w:sz w:val="32"/>
          <w:szCs w:val="32"/>
        </w:rPr>
        <w:t>《政府会计准</w:t>
      </w:r>
      <w:bookmarkStart w:id="0" w:name="_GoBack"/>
      <w:bookmarkEnd w:id="0"/>
      <w:r w:rsidRPr="002C76D3">
        <w:rPr>
          <w:rFonts w:ascii="华文中宋" w:eastAsia="华文中宋" w:hAnsi="华文中宋" w:hint="eastAsia"/>
          <w:b/>
          <w:sz w:val="32"/>
          <w:szCs w:val="32"/>
        </w:rPr>
        <w:t>则第 10号——</w:t>
      </w:r>
      <w:r w:rsidR="00251585" w:rsidRPr="002C76D3">
        <w:rPr>
          <w:rFonts w:ascii="华文中宋" w:eastAsia="华文中宋" w:hAnsi="华文中宋" w:hint="eastAsia"/>
          <w:b/>
          <w:sz w:val="32"/>
          <w:szCs w:val="32"/>
        </w:rPr>
        <w:t>政府和社会资本合作</w:t>
      </w:r>
      <w:r w:rsidRPr="002C76D3">
        <w:rPr>
          <w:rFonts w:ascii="华文中宋" w:eastAsia="华文中宋" w:hAnsi="华文中宋" w:hint="eastAsia"/>
          <w:b/>
          <w:sz w:val="32"/>
          <w:szCs w:val="32"/>
        </w:rPr>
        <w:t>安排》</w:t>
      </w:r>
    </w:p>
    <w:p w:rsidR="003B225A" w:rsidRPr="002C76D3" w:rsidRDefault="00950238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C76D3">
        <w:rPr>
          <w:rFonts w:ascii="华文中宋" w:eastAsia="华文中宋" w:hAnsi="华文中宋" w:hint="eastAsia"/>
          <w:b/>
          <w:sz w:val="32"/>
          <w:szCs w:val="32"/>
        </w:rPr>
        <w:t>应用指南</w:t>
      </w:r>
    </w:p>
    <w:p w:rsidR="003B225A" w:rsidRDefault="00950238">
      <w:pPr>
        <w:spacing w:line="360" w:lineRule="auto"/>
        <w:jc w:val="center"/>
        <w:rPr>
          <w:rFonts w:ascii="仿宋_GB2312" w:eastAsia="仿宋_GB2312" w:hAnsi="Arial Narrow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（征求意见稿）</w:t>
      </w:r>
    </w:p>
    <w:p w:rsidR="003B225A" w:rsidRDefault="003B225A">
      <w:pPr>
        <w:jc w:val="center"/>
        <w:rPr>
          <w:rFonts w:ascii="仿宋_GB2312" w:eastAsia="仿宋_GB2312" w:hAnsi="Arial Narrow"/>
          <w:b/>
          <w:sz w:val="24"/>
        </w:rPr>
      </w:pPr>
    </w:p>
    <w:p w:rsidR="003B225A" w:rsidRDefault="003B225A">
      <w:pPr>
        <w:rPr>
          <w:rFonts w:ascii="仿宋_GB2312" w:eastAsia="仿宋_GB2312" w:hAnsi="Arial Narrow"/>
          <w:b/>
          <w:sz w:val="32"/>
          <w:szCs w:val="32"/>
        </w:rPr>
      </w:pP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一、关于本准则适用范围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不同时满足本准则第二条第一款规定的两个特征的协议或安排，如建设-移交（BT）、租赁、无偿捐赠、政府购买服务等，不适用本准则，应当按照其他政府会计准则和《政府会计制度——行政事业单位会计科目和报表》有关规定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（二）通常情况下，采用建设-运营-移交（BOT）、转让-运营-移交（TOT）、改建-运营-移交（ROT）方式运作的PPP项目，满足本准则第三条规定的条件，应当适用本准则。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（三）采用建设-拥有-运营（BOO）、转让-拥有-运营（TOO）方式运作的PPP项目，通常仅满足本准则第三条规定的条件（一），但不满足条件（二）。这种情况下，PPP安排中涉及的公共基础设施，应当由</w:t>
      </w:r>
      <w:r w:rsidR="008A6425">
        <w:rPr>
          <w:rFonts w:ascii="仿宋_GB2312" w:eastAsia="仿宋_GB2312" w:hAnsi="Arial Narrow" w:hint="eastAsia"/>
          <w:sz w:val="32"/>
          <w:szCs w:val="32"/>
        </w:rPr>
        <w:t>运营</w:t>
      </w:r>
      <w:r>
        <w:rPr>
          <w:rFonts w:ascii="仿宋_GB2312" w:eastAsia="仿宋_GB2312" w:hAnsi="Arial Narrow" w:hint="eastAsia"/>
          <w:sz w:val="32"/>
          <w:szCs w:val="32"/>
        </w:rPr>
        <w:t>方按照相关企业会计准则进行会计处理。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 w:cs="宋体"/>
          <w:b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（四）满足本准则第三条规定的条件（二）、但不满足条件（一）的PPP安排中涉及的公共基础设施，应当由授予</w:t>
      </w:r>
      <w:r>
        <w:rPr>
          <w:rFonts w:ascii="仿宋_GB2312" w:eastAsia="仿宋_GB2312" w:hAnsi="Arial Narrow" w:hint="eastAsia"/>
          <w:sz w:val="32"/>
          <w:szCs w:val="32"/>
        </w:rPr>
        <w:lastRenderedPageBreak/>
        <w:t>方按照租赁业务相关规定进行会计处理。</w:t>
      </w:r>
    </w:p>
    <w:p w:rsidR="003B225A" w:rsidRDefault="00950238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（五）采用委托运营（O&amp;M）、管理合同（MC）方式运作的PPP项目，不满足本准则第三条规定的条件，PPP安排中涉及的公共基础设施应当由授予方按照《政府会计准则第5号——公共基础设施》进行会计处理。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（六）PPP</w:t>
      </w:r>
      <w:r w:rsidR="00AE7BFB">
        <w:rPr>
          <w:rFonts w:ascii="仿宋_GB2312" w:eastAsia="仿宋_GB2312" w:hAnsi="Arial Narrow" w:hint="eastAsia"/>
          <w:sz w:val="32"/>
          <w:szCs w:val="32"/>
        </w:rPr>
        <w:t>安排</w:t>
      </w:r>
      <w:r>
        <w:rPr>
          <w:rFonts w:ascii="仿宋_GB2312" w:eastAsia="仿宋_GB2312" w:hAnsi="Arial Narrow" w:hint="eastAsia"/>
          <w:sz w:val="32"/>
          <w:szCs w:val="32"/>
        </w:rPr>
        <w:t>中政府方对项目公司投资的会计处理，适用《政府会计准则第2号——投资》。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（七）</w:t>
      </w:r>
      <w:r w:rsidR="008A6425">
        <w:rPr>
          <w:rFonts w:ascii="仿宋_GB2312" w:eastAsia="仿宋_GB2312" w:hAnsi="Arial Narrow" w:hint="eastAsia"/>
          <w:sz w:val="32"/>
          <w:szCs w:val="32"/>
        </w:rPr>
        <w:t>运营</w:t>
      </w:r>
      <w:r>
        <w:rPr>
          <w:rFonts w:ascii="仿宋_GB2312" w:eastAsia="仿宋_GB2312" w:hAnsi="Arial Narrow" w:hint="eastAsia"/>
          <w:sz w:val="32"/>
          <w:szCs w:val="32"/>
        </w:rPr>
        <w:t>方对PPP中PPP公共服务安排的确认、计量和披露，适用相关企业会计准则。</w:t>
      </w: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二、关于会计科目设置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（一）授予方应当设置“1841 PPP服务资产”一级科目，核算按照本准则确认的PPP服务资产，并按照资产类别、项目等进行明细核算。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PPP安排中涉及建造（包括改建、扩建）业务的，授予方应当在“PPP服务资产”科目下设置“在建工程”明细科目，核算建设过程中的PPP服务资产。建设项目验收合格交付使用时，授予方应当将“PPP服务资产——在建工程”科目余额结转至“PPP服务资产”相关明细科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（二）授予方应当设置“1842 PPP服务资产累计折旧（摊销）”一级科目，核算按本准则规定计提的PPP服务资产折旧（摊销）。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（三）授予方应当在“长期应付款”科目下设置“PPP负债”明细科目，核算按照本准则确认的负债。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（四）授予方应当增设“3601 PPP净资产”一级科目，核算按照本准则规定所确认的PPP净资产。根据PPP公共服务安排，协议或合同结束时PPP服务资产移交至授予方的，授予方在资产重分类的同时，应当将“PPP净资产”科目余额转入“累计盈余”科目。</w:t>
      </w:r>
    </w:p>
    <w:p w:rsidR="003B225A" w:rsidRDefault="00950238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三、关于财务报表项目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（一）关于资产负债表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1.授予方应当在“保障性住房净值”和“长期待摊费用”项目之间依次增加“PPP服务资产”“其中：在建工程”“减：PPP服务资产累计折旧（摊销）”“PPP服务资产净值”项目。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2.授予方应当在“长期应付款”项目和“预计负债”项目之间增加“其中：PPP负债”项目。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3.授予方应当在“权益法调整”项目和“无偿调拨净资产”项目之间增加“PPP净资产”项目。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（二）关于净资产变动表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1.授予方应当在“本年数”“上年数”两栏中的“权益法调整”和“净资产合计”项目之间增加“PPP净资产”列项目。</w:t>
      </w:r>
    </w:p>
    <w:p w:rsidR="003B225A" w:rsidRDefault="00950238">
      <w:pPr>
        <w:ind w:firstLineChars="200" w:firstLine="640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2.授予方应当在“（六）权益法调整”和“五、本年年末余额”项目之间增加“PPP净资产”行项目。</w:t>
      </w:r>
    </w:p>
    <w:sectPr w:rsidR="003B225A" w:rsidSect="003B225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3B" w:rsidRDefault="0058093B" w:rsidP="003B225A">
      <w:r>
        <w:separator/>
      </w:r>
    </w:p>
  </w:endnote>
  <w:endnote w:type="continuationSeparator" w:id="0">
    <w:p w:rsidR="0058093B" w:rsidRDefault="0058093B" w:rsidP="003B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DejaVu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5A" w:rsidRDefault="003B42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25A" w:rsidRDefault="002E35B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50238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809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3B225A" w:rsidRDefault="002E35B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50238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8093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3B" w:rsidRDefault="0058093B" w:rsidP="003B225A">
      <w:r>
        <w:separator/>
      </w:r>
    </w:p>
  </w:footnote>
  <w:footnote w:type="continuationSeparator" w:id="0">
    <w:p w:rsidR="0058093B" w:rsidRDefault="0058093B" w:rsidP="003B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5A"/>
    <w:rsid w:val="A2F8B34C"/>
    <w:rsid w:val="CFDB793B"/>
    <w:rsid w:val="D75BFCCD"/>
    <w:rsid w:val="EFE56240"/>
    <w:rsid w:val="FDB7A0D8"/>
    <w:rsid w:val="FE7FA9AB"/>
    <w:rsid w:val="FFF728F2"/>
    <w:rsid w:val="00251585"/>
    <w:rsid w:val="002C76D3"/>
    <w:rsid w:val="002E35B8"/>
    <w:rsid w:val="003B225A"/>
    <w:rsid w:val="003B414B"/>
    <w:rsid w:val="003B42CA"/>
    <w:rsid w:val="003D5064"/>
    <w:rsid w:val="004D049F"/>
    <w:rsid w:val="0058093B"/>
    <w:rsid w:val="00587677"/>
    <w:rsid w:val="007650CA"/>
    <w:rsid w:val="007F19A6"/>
    <w:rsid w:val="008A6425"/>
    <w:rsid w:val="00950238"/>
    <w:rsid w:val="00AE7BFB"/>
    <w:rsid w:val="00B8372B"/>
    <w:rsid w:val="00CB51D7"/>
    <w:rsid w:val="00D648E5"/>
    <w:rsid w:val="00F310FD"/>
    <w:rsid w:val="379777F7"/>
    <w:rsid w:val="37FB5889"/>
    <w:rsid w:val="3BDF46A4"/>
    <w:rsid w:val="3EAB0813"/>
    <w:rsid w:val="57FEE426"/>
    <w:rsid w:val="5FBF3C58"/>
    <w:rsid w:val="6DFD0828"/>
    <w:rsid w:val="6FBF8896"/>
    <w:rsid w:val="7BFDEAEF"/>
    <w:rsid w:val="7F7AC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2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B22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uiPriority w:val="59"/>
    <w:qFormat/>
    <w:rsid w:val="003B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B414B"/>
    <w:rPr>
      <w:sz w:val="18"/>
      <w:szCs w:val="18"/>
    </w:rPr>
  </w:style>
  <w:style w:type="character" w:customStyle="1" w:styleId="Char">
    <w:name w:val="批注框文本 Char"/>
    <w:basedOn w:val="a0"/>
    <w:link w:val="a6"/>
    <w:rsid w:val="003B41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2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B22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uiPriority w:val="59"/>
    <w:qFormat/>
    <w:rsid w:val="003B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B414B"/>
    <w:rPr>
      <w:sz w:val="18"/>
      <w:szCs w:val="18"/>
    </w:rPr>
  </w:style>
  <w:style w:type="character" w:customStyle="1" w:styleId="Char">
    <w:name w:val="批注框文本 Char"/>
    <w:basedOn w:val="a0"/>
    <w:link w:val="a6"/>
    <w:rsid w:val="003B41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JTKJXH</cp:lastModifiedBy>
  <cp:revision>3</cp:revision>
  <cp:lastPrinted>2019-07-22T02:18:00Z</cp:lastPrinted>
  <dcterms:created xsi:type="dcterms:W3CDTF">2019-08-15T00:54:00Z</dcterms:created>
  <dcterms:modified xsi:type="dcterms:W3CDTF">2019-08-15T00:54:00Z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2052-10.1.0.7398</vt:lpwstr>
  </property>
</Properties>
</file>