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E8" w:rsidRDefault="00925F67">
      <w:pPr>
        <w:spacing w:line="580" w:lineRule="exact"/>
        <w:rPr>
          <w:rFonts w:ascii="Times New Roman" w:eastAsia="方正黑体_GBK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sz w:val="30"/>
          <w:szCs w:val="30"/>
        </w:rPr>
        <w:t>附件</w:t>
      </w:r>
    </w:p>
    <w:p w:rsidR="003B31E8" w:rsidRDefault="00925F67">
      <w:pPr>
        <w:pStyle w:val="2"/>
        <w:spacing w:beforeLines="50" w:before="156" w:beforeAutospacing="0" w:afterLines="50" w:after="156" w:afterAutospacing="0" w:line="580" w:lineRule="exact"/>
        <w:jc w:val="center"/>
        <w:rPr>
          <w:rFonts w:ascii="Times New Roman" w:eastAsia="方正小标宋_GBK" w:hAnsi="Times New Roman" w:hint="default"/>
          <w:b w:val="0"/>
          <w:bCs w:val="0"/>
          <w:sz w:val="40"/>
          <w:szCs w:val="40"/>
        </w:rPr>
      </w:pPr>
      <w:r>
        <w:rPr>
          <w:rFonts w:ascii="Times New Roman" w:eastAsia="方正小标宋_GBK" w:hAnsi="Times New Roman"/>
          <w:b w:val="0"/>
          <w:bCs w:val="0"/>
          <w:sz w:val="40"/>
          <w:szCs w:val="40"/>
        </w:rPr>
        <w:t>中国拟推荐参与国际“双十佳”评选的节能技术</w:t>
      </w:r>
      <w:r>
        <w:rPr>
          <w:rFonts w:ascii="Times New Roman" w:eastAsia="方正小标宋_GBK" w:hAnsi="Times New Roman" w:hint="default"/>
          <w:b w:val="0"/>
          <w:bCs w:val="0"/>
          <w:sz w:val="40"/>
          <w:szCs w:val="40"/>
        </w:rPr>
        <w:t>和</w:t>
      </w:r>
      <w:r>
        <w:rPr>
          <w:rFonts w:ascii="Times New Roman" w:eastAsia="方正小标宋_GBK" w:hAnsi="Times New Roman"/>
          <w:b w:val="0"/>
          <w:bCs w:val="0"/>
          <w:sz w:val="40"/>
          <w:szCs w:val="40"/>
        </w:rPr>
        <w:t>节能实践清单</w:t>
      </w:r>
    </w:p>
    <w:p w:rsidR="003B31E8" w:rsidRDefault="00925F67">
      <w:pPr>
        <w:jc w:val="center"/>
      </w:pPr>
      <w:r>
        <w:rPr>
          <w:rFonts w:ascii="Times New Roman" w:eastAsia="方正小标宋_GBK" w:hAnsi="Times New Roman" w:cs="Times New Roman" w:hint="eastAsia"/>
          <w:sz w:val="40"/>
          <w:szCs w:val="40"/>
        </w:rPr>
        <w:t>（交通运输领域）</w:t>
      </w:r>
    </w:p>
    <w:p w:rsidR="003B31E8" w:rsidRDefault="00925F67">
      <w:pPr>
        <w:spacing w:line="588" w:lineRule="exact"/>
        <w:jc w:val="center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交通运输领域节能技术</w:t>
      </w:r>
    </w:p>
    <w:tbl>
      <w:tblPr>
        <w:tblW w:w="14910" w:type="dxa"/>
        <w:jc w:val="center"/>
        <w:tblLayout w:type="fixed"/>
        <w:tblLook w:val="04A0" w:firstRow="1" w:lastRow="0" w:firstColumn="1" w:lastColumn="0" w:noHBand="0" w:noVBand="1"/>
      </w:tblPr>
      <w:tblGrid>
        <w:gridCol w:w="853"/>
        <w:gridCol w:w="4347"/>
        <w:gridCol w:w="9710"/>
      </w:tblGrid>
      <w:tr w:rsidR="003B31E8">
        <w:trPr>
          <w:trHeight w:val="697"/>
          <w:tblHeader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技术名称</w:t>
            </w:r>
          </w:p>
        </w:tc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技术简介</w:t>
            </w:r>
          </w:p>
        </w:tc>
      </w:tr>
      <w:tr w:rsidR="003B31E8">
        <w:trPr>
          <w:trHeight w:val="391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玄武岩纤维沥青混凝土路面成套应用技术</w:t>
            </w:r>
          </w:p>
        </w:tc>
        <w:tc>
          <w:tcPr>
            <w:tcW w:w="9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该技术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将具有绿色属性的玄武岩纤维与沥青混合料进行拌合，充分发挥玄武岩纤维的吸附、加筋、桥接作用，显著提升沥青混合料的高温稳定性、低温抗裂性和抗水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损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性能。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同时，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该技术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集成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玄武岩纤维沥青混凝土路面技术、玄武岩纤维碎石封层路面技术、玄武岩纤维格栅技术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特点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，重新优化沥青混凝土路面层间结构设计，提高沥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青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路面各项性能指标，减薄路面厚度，延长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沥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面寿命，降低路面建设消耗和养护成本，实现玄武岩纤维沥青混凝土路面施工过程中的节能。该技术适用于基础设施建设领域的沥青铺面工程，各等级道路新建或改扩建工程，及各等级道路的养护和预防性工程。</w:t>
            </w:r>
          </w:p>
        </w:tc>
      </w:tr>
      <w:tr w:rsidR="003B31E8">
        <w:trPr>
          <w:trHeight w:val="310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2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城市轨道交通混合储能型再生能量利用技术</w:t>
            </w:r>
          </w:p>
        </w:tc>
        <w:tc>
          <w:tcPr>
            <w:tcW w:w="9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该技术通过高效回收及再利用地铁列车再生制动能量，辅以能量存储、直流开关、能量变换及管理等三个子系统的混合储能装置，降低地铁线路牵引能耗，实现能量循环利用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，同时解决供电故障情况下的地铁列车紧急救援问题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。该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技术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通过智慧能源管理系统实现城市轨道交通系统短时间、中时间、长时间等不同时间尺度的能量管控和优化，提升了供电系统的供电质量和稳定性。该技术适用于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城市轨道交通、电气化铁路、电力系统等。</w:t>
            </w:r>
          </w:p>
        </w:tc>
      </w:tr>
      <w:tr w:rsidR="003B31E8">
        <w:trPr>
          <w:trHeight w:val="3499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新型装配式功能集成型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公路隧道数智照明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节能成套技术</w:t>
            </w:r>
          </w:p>
        </w:tc>
        <w:tc>
          <w:tcPr>
            <w:tcW w:w="9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该技术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运用光电气一体化功能集成型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隧道数智照明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、智慧管控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供电与通讯、通风等于一体，提前预制并集成装配各功能模块，提升了照明功能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现场施工效率及维护便捷度。同时，该实践基于多功能集成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的数智化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高效照明综合智慧管控平台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制定照明节能策略，完成照明、通风、监控等系统联动响应，实现隧道照明安全与节能效果最大化。该技术适用于各等级公路新建、改扩建隧道照明系统，及城市隧道、综合管廊等隧道照明系统。</w:t>
            </w:r>
          </w:p>
        </w:tc>
      </w:tr>
      <w:tr w:rsidR="003B31E8">
        <w:trPr>
          <w:trHeight w:val="3521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4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公路工程工业化成套建造技术</w:t>
            </w:r>
          </w:p>
        </w:tc>
        <w:tc>
          <w:tcPr>
            <w:tcW w:w="9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该技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术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集成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小跨径构筑物、常规跨径桥梁工业化技术，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大跨结构的模块化技术，以“结构高强轻量化、构件通用化、安装便利化”为设计理念，实现上部结构与下部结构的全装配化，结构形式涵盖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米以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下所有跨径的桥涵。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该技术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通过工业化手段预制装配公路工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程结构物，使用高强材料将结构物轻型化，提高结构物的耐久性，并提升施工效率与质量，降低施工过程中的能源消耗和维修养护过程中的碳排放。该技术适用于各等级公路、城市道路的新建、改建、扩建工程。</w:t>
            </w:r>
          </w:p>
        </w:tc>
      </w:tr>
      <w:tr w:rsidR="003B31E8">
        <w:trPr>
          <w:trHeight w:val="25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首台（套）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港口门座起重机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永磁直驱技术</w:t>
            </w:r>
          </w:p>
        </w:tc>
        <w:tc>
          <w:tcPr>
            <w:tcW w:w="9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该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技术通过在起重机起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升机构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内部安装永磁同步电动机，将卷筒作为永磁同步电动机的外转子，带动钢丝绳低速运行，实现起重机的起升动作，替代传统起升机减速机“减速增矩”传动环节，取消减速机、联轴器和补偿轴等，缩短了传统起升机的传递路线，结合变频智能控制特点，实现低转速大扭矩直接驱动。该技术适用于港口装卸、矿山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货物搬运生产作业场景下的起重、传动装置。</w:t>
            </w:r>
          </w:p>
        </w:tc>
      </w:tr>
      <w:tr w:rsidR="003B31E8">
        <w:trPr>
          <w:trHeight w:val="2488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6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地铁车站用高效直接制冷式磁悬浮空调机组关键技术</w:t>
            </w:r>
          </w:p>
        </w:tc>
        <w:tc>
          <w:tcPr>
            <w:tcW w:w="9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该技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术是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采用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水冷直接式制冷系统（压缩冷凝单元）的空气处理技术，由压缩冷凝段、过滤段、蒸发段、风机段、送风段等多种空气处理功能段组成，机组采用冷媒直接膨胀蒸发降温后送风，无需二次换热能耗，取消“冷冻水循环”，集成冷水机组和组合式空调箱功能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提升了空调设备的能效水平和终端用能效率，显著降低了空调系统的运行能耗。该技术适用于地铁车站、铁路客站、机场等需要直接蒸发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式送风的大型场所。</w:t>
            </w:r>
          </w:p>
        </w:tc>
      </w:tr>
      <w:tr w:rsidR="003B31E8">
        <w:trPr>
          <w:trHeight w:val="277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纯电驱动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预见性巡航技术（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E-PCC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9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该技术依托车联网平台，在整车控制器中集成控制算法，将商用车大数据节能算法与高级驾驶辅助系统（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ADAS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）地图优势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相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结合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，通过“电子视野”模型自动控制匹配驱动电机和动力电池，根据驾驶员设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置的车速、前方道路坡度等信息动态调整车速，优化驱动电机效率和变速箱档位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，避免不必要的能量损失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并实现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节能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。该技术适用于重型商用车领域，主要运行环境为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ADAS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地图覆盖的高速公路及国道等道路。</w:t>
            </w:r>
          </w:p>
        </w:tc>
      </w:tr>
      <w:tr w:rsidR="003B31E8">
        <w:trPr>
          <w:trHeight w:val="241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内河航运智能降耗监测系统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技术</w:t>
            </w:r>
          </w:p>
        </w:tc>
        <w:tc>
          <w:tcPr>
            <w:tcW w:w="9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该技术由油耗监测、数据传输通道、船舶最优航行模型、船舶航行辅助等组成，具体通过船舶油耗测量仪实时测量船舶航行用油量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并综合运用规划算法、模糊算法、遗传算法等，建立船舶最优航行模型，获得最省油航行方案，并通过声音和图像等可感知化方式指导船民航行驾驶行为。该技术适用于内河渠化航道中进行水路运输的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船舶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3B31E8">
        <w:trPr>
          <w:trHeight w:val="2738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9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胶结土（石）筑堤关键技术</w:t>
            </w:r>
          </w:p>
        </w:tc>
        <w:tc>
          <w:tcPr>
            <w:tcW w:w="9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该技术使用少量胶凝材料（水泥、粉煤灰等）和工程现场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筛分、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水洗的土、砂、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砾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、石、开挖料等广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源材料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，通过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简易拌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摊铺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、振动碾压或浇筑振捣后，形成具备一定抗压、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抗剪和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抗冲性能的弹塑性材料，具有漫顶不溃、适应性强、安全性高、环境友好等特点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避免土石坝漫顶溃决引发重大安全隐患。该技术适用于通航保障要求高的沿河航道护岸工程，以及水利水电工程。</w:t>
            </w:r>
          </w:p>
        </w:tc>
      </w:tr>
    </w:tbl>
    <w:p w:rsidR="003B31E8" w:rsidRDefault="00925F67">
      <w:pPr>
        <w:spacing w:line="588" w:lineRule="exac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br w:type="page"/>
      </w:r>
    </w:p>
    <w:p w:rsidR="003B31E8" w:rsidRDefault="00925F67">
      <w:pPr>
        <w:spacing w:line="588" w:lineRule="exact"/>
        <w:jc w:val="center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lastRenderedPageBreak/>
        <w:t>交通运输领域节能实践</w:t>
      </w:r>
    </w:p>
    <w:tbl>
      <w:tblPr>
        <w:tblW w:w="14902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347"/>
        <w:gridCol w:w="9693"/>
      </w:tblGrid>
      <w:tr w:rsidR="003B31E8">
        <w:trPr>
          <w:trHeight w:val="697"/>
          <w:tblHeader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实践名称</w:t>
            </w:r>
          </w:p>
        </w:tc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实践简介</w:t>
            </w:r>
          </w:p>
        </w:tc>
      </w:tr>
      <w:tr w:rsidR="003B31E8">
        <w:trPr>
          <w:trHeight w:val="3312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高铁站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绿色低碳改造节能实践</w:t>
            </w:r>
          </w:p>
        </w:tc>
        <w:tc>
          <w:tcPr>
            <w:tcW w:w="9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天津西站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综合运用数字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化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技术、人工智能技术和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物联网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技术，建设节能中控系统、能源管理系统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、中央空调节能控制系统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等，推动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全站机电系统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实现远程化和智能化控制。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该实践中的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中央空调系统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配备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了具有自主知识产权的节能自控运维系统，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自动采集环境、设备状态等数据，并利用人工智能算法进行自动运算，动态找寻当前环境和设备状态下的最佳节能方案，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有效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节约了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能源和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运维成本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该实践每年可节电约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万千瓦时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减少碳排放约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6273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3B31E8">
        <w:trPr>
          <w:trHeight w:val="3402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货领域碳效码应用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实践</w:t>
            </w:r>
          </w:p>
        </w:tc>
        <w:tc>
          <w:tcPr>
            <w:tcW w:w="9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绍兴市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建立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货碳效码应用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平台，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将浙江交通数据枢纽集成道路货物运输周转量、车辆能耗、车辆行驶里程等数据转换成碳排放强度，并结合企业规模、车辆属性等进行统计、分析和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赋码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，实行绿码、蓝码、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红码三个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等级“碳效码”管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理，按季度在“浙江省交通领域碳达峰数字化应用”平台更新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发布碳效等级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评价结果，并依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该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结果给予企业不同管理待遇，同时推动车辆装备升级、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运输结构优化、配载效率提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升、金融保险服务配套等。该实践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每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节约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8.45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万吨标准煤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减少碳排放约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13.57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万吨。</w:t>
            </w:r>
          </w:p>
        </w:tc>
      </w:tr>
      <w:tr w:rsidR="003B31E8">
        <w:trPr>
          <w:trHeight w:val="309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3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公路建筑废料绿色循环利用产业化基地节能实践</w:t>
            </w:r>
          </w:p>
        </w:tc>
        <w:tc>
          <w:tcPr>
            <w:tcW w:w="9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宜春公路建筑废料绿色循环利用产业化基地集成应用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乳化沥青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厂拌冷再生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技术、泡沫沥青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厂拌冷再生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技术、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厂拌热再生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技术，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并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兼顾路域外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工业固废处理，助力品质型、平安型、生态型、服务型、智慧型五型公路养护创建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，实现了覆盖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宜春市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全市域的废旧沥青路面材料大规模产业化生产和应用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。该实践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实现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了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全市废旧沥青材料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100%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回收，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循环利用率约达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85%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每年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可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节约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吨标准煤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减少碳排放约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6534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吨。</w:t>
            </w:r>
          </w:p>
        </w:tc>
      </w:tr>
      <w:tr w:rsidR="003B31E8">
        <w:trPr>
          <w:trHeight w:val="375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城市轨道交通节能实践</w:t>
            </w:r>
          </w:p>
        </w:tc>
        <w:tc>
          <w:tcPr>
            <w:tcW w:w="9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山西省太原地铁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号线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通过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安装磁悬浮机组、中压能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馈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系统、动态无功补偿装置等，建立了基于大数据智能化变频技术的能源管理系统，覆盖地铁高压牵引供电外所有低压供电的通风、制冷、给排水、门梯系统、照明系统、通信设备、信号系统的用能数据。同时，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该实践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研究优化了运营阶段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车站照明模式、通道照明模式、公共区域大系统模式、小系统采用最小新风模式、夜间调整小系统模式，并加装了红外和雷达照明等设备，形成通风空调运行模式表和智能照明表。该实践每年可节电约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万千瓦时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减少碳排放约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吨。</w:t>
            </w:r>
          </w:p>
        </w:tc>
      </w:tr>
      <w:tr w:rsidR="003B31E8">
        <w:trPr>
          <w:trHeight w:val="3114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5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带式输送机变频驱动技术应用实践</w:t>
            </w:r>
          </w:p>
        </w:tc>
        <w:tc>
          <w:tcPr>
            <w:tcW w:w="9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国能黄烨港通过在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皮带机输送系统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应用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大装机容量变频技术，实现自动检测和智能化控制运煤量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带速，提高了系统的功率因数和系统效率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，使皮带机输送系统更平滑运行，减小了电机启动电流，降低了皮带机输送系统作业过程中的电能消耗，提高了系统整体运行效率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。经变频技术改造后的带式输送机可实现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软启动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和软停止运行，降低对电网电压和电机内部机械的冲击，减少系统损耗和机械维护量。该实践以黄骅港三期、四期工程皮带机为例，每年可节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电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约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780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万千瓦时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、减少碳排放约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4448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吨。</w:t>
            </w:r>
          </w:p>
        </w:tc>
      </w:tr>
      <w:tr w:rsidR="003B31E8">
        <w:trPr>
          <w:trHeight w:val="2748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轨道交通高效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智能环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控系统应用实践</w:t>
            </w:r>
          </w:p>
        </w:tc>
        <w:tc>
          <w:tcPr>
            <w:tcW w:w="9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广州市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轨道交通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对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环控的车站空调通风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系统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和隧道通风系统进行智能化升级改造，采用基于云平台的主动寻优控制技术，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开展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数字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孪生和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大数据分析，持续优化系统模型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动态调整通风空调、冷水机组、风机以及风阀等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各运行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设备的参数和状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态，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保持及提升全工况下的系统能效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。同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时，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采用压缩机容量和控制技术、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设备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健康管理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监测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技术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实现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实时监控管理设备。该实践每年可节电约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万千瓦时、减少碳排放约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718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 w:rsidR="003B31E8">
        <w:trPr>
          <w:trHeight w:val="2492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7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智慧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物联科技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平台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节能实践</w:t>
            </w:r>
          </w:p>
        </w:tc>
        <w:tc>
          <w:tcPr>
            <w:tcW w:w="9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鄂尔多斯智慧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物联科技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平台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对大宗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产品物联进行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全场景数字化改造，建立电子提货单系统、远程智能排队系统、无人值守系统和“新能源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甩箱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（陆港）散改集”运输模式，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并架接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鄂尔多斯交通运输综合信息平台和能源大数据平台，提升智慧货场整体信息化水平及服务质量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。该实践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每年可节约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6.17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万吨标准煤、减少碳排放约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10.67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万吨。</w:t>
            </w:r>
          </w:p>
        </w:tc>
      </w:tr>
      <w:tr w:rsidR="003B31E8">
        <w:trPr>
          <w:trHeight w:val="2921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轨道交通节能低碳实践</w:t>
            </w:r>
          </w:p>
        </w:tc>
        <w:tc>
          <w:tcPr>
            <w:tcW w:w="9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宁波轨道交通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号线一期工程在节能管理方面，建设全生命周期绿色低碳发展体系，制定宁波轨道交通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碳达峰碳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中和目标，研究重点任务和行动路径；在技术应用方面，创新应用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双向变流牵引供电系统、车辆永磁同步牵引系统、车站高效通风空调系统等，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并自主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研发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应用了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基于磁悬浮冷水机组、水泵、冷却塔风机、空调大小系统送风机、空调大小系统回排风机全系统变频的地下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车站超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高效低碳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智能环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控系统。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该实践每年可节电约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1448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万千瓦时、减少碳排放约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8258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吨。</w:t>
            </w:r>
          </w:p>
        </w:tc>
      </w:tr>
      <w:tr w:rsidR="003B31E8">
        <w:trPr>
          <w:trHeight w:val="2271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基于数据驱动的机场跑道预测模型算法节能实践</w:t>
            </w:r>
          </w:p>
        </w:tc>
        <w:tc>
          <w:tcPr>
            <w:tcW w:w="9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厦门航空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基于数据驱动的人工智能决策方式，建立“场景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知识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数据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算法”模型，利用大数据平台和数据仓库进行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实时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模型计算，并融合航班、气象、机场、情报、飞行轨迹、历史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跑道等数据，精准预测国内外所有机场的预计起降跑道，推荐最优进离场距离，实现节约航空燃油及减少碳排放。该实践每年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可节约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2040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吨标准煤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减少碳排放约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3529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吨。</w:t>
            </w:r>
          </w:p>
        </w:tc>
      </w:tr>
      <w:tr w:rsidR="003B31E8">
        <w:trPr>
          <w:trHeight w:val="3341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31E8" w:rsidRDefault="00925F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10</w:t>
            </w:r>
          </w:p>
        </w:tc>
        <w:tc>
          <w:tcPr>
            <w:tcW w:w="4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航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空器低碳滑行指挥法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节能实践</w:t>
            </w:r>
          </w:p>
        </w:tc>
        <w:tc>
          <w:tcPr>
            <w:tcW w:w="9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1E8" w:rsidRDefault="00925F67">
            <w:pPr>
              <w:widowControl/>
              <w:overflowPunct w:val="0"/>
              <w:spacing w:line="400" w:lineRule="exact"/>
              <w:textAlignment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杭州机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场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针对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航空器地面滑行时油耗较高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等问题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研究提出了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航空器低碳滑行指挥法。通过优化运行程序，一是研发应用“边推出边开车”程序，减少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地面推出阶段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APU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（位于飞机尾端的小型涡轮发动机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向飞机独立提供附加推力）无效运行的能耗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；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二是研发应用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“标准滑行路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径程序（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STR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提供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  <w:lang w:bidi="ar"/>
              </w:rPr>
              <w:t>最优滑行路线，提升滑行速度；三是研发应用精准放飞程序，准确计算“飞行间隔”，不因航空器等待数量多和时间长等产生不必要的燃油消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  <w:lang w:bidi="ar"/>
              </w:rPr>
              <w:t>耗。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该实践每年可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节约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7655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吨标准煤、减少碳排放约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1.32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万吨。</w:t>
            </w:r>
          </w:p>
        </w:tc>
      </w:tr>
    </w:tbl>
    <w:p w:rsidR="003B31E8" w:rsidRDefault="003B31E8">
      <w:pPr>
        <w:rPr>
          <w:rFonts w:ascii="Times New Roman" w:eastAsia="方正仿宋_GBK" w:hAnsi="Times New Roman" w:cs="Times New Roman"/>
          <w:sz w:val="30"/>
          <w:szCs w:val="30"/>
        </w:rPr>
      </w:pPr>
    </w:p>
    <w:sectPr w:rsidR="003B31E8">
      <w:footerReference w:type="default" r:id="rId7"/>
      <w:pgSz w:w="16838" w:h="11906" w:orient="landscape"/>
      <w:pgMar w:top="1616" w:right="1984" w:bottom="1616" w:left="1814" w:header="851" w:footer="147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F67" w:rsidRDefault="00925F67">
      <w:r>
        <w:separator/>
      </w:r>
    </w:p>
  </w:endnote>
  <w:endnote w:type="continuationSeparator" w:id="0">
    <w:p w:rsidR="00925F67" w:rsidRDefault="0092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1" w:subsetted="1" w:fontKey="{3C438406-CCE1-460D-B432-06671D21F12B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B32106D-3C5D-4AC6-B27B-B0DC0C4CD379}"/>
  </w:font>
  <w:font w:name="方正楷体_GBK">
    <w:charset w:val="86"/>
    <w:family w:val="auto"/>
    <w:pitch w:val="default"/>
    <w:sig w:usb0="800002BF" w:usb1="38CF7CFA" w:usb2="00000016" w:usb3="00000000" w:csb0="00040000" w:csb1="00000000"/>
    <w:embedRegular r:id="rId3" w:subsetted="1" w:fontKey="{DEA2CF04-F46C-4994-8CF7-AC4BDF22BF59}"/>
  </w:font>
  <w:font w:name="方正仿宋_GBK">
    <w:charset w:val="86"/>
    <w:family w:val="auto"/>
    <w:pitch w:val="default"/>
    <w:sig w:usb0="A00002BF" w:usb1="38CF7CFA" w:usb2="00082016" w:usb3="00000000" w:csb0="00040001" w:csb1="00000000"/>
    <w:embedRegular r:id="rId4" w:subsetted="1" w:fontKey="{2A817326-DC51-4D87-B98D-52B451BD1CA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1E8" w:rsidRDefault="00925F6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31E8" w:rsidRDefault="00925F67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 w:rsidR="009B22FA">
                            <w:rPr>
                              <w:rFonts w:ascii="Times New Roman" w:hAnsi="Times New Roman" w:cs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B31E8" w:rsidRDefault="00925F67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 w:rsidR="009B22FA">
                      <w:rPr>
                        <w:rFonts w:ascii="Times New Roman" w:hAnsi="Times New Roman" w:cs="Times New Roman"/>
                        <w:noProof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F67" w:rsidRDefault="00925F67">
      <w:r>
        <w:separator/>
      </w:r>
    </w:p>
  </w:footnote>
  <w:footnote w:type="continuationSeparator" w:id="0">
    <w:p w:rsidR="00925F67" w:rsidRDefault="0092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E8"/>
    <w:rsid w:val="E7BBCA7B"/>
    <w:rsid w:val="E92F4B5C"/>
    <w:rsid w:val="EBA524B3"/>
    <w:rsid w:val="EDBE5ED0"/>
    <w:rsid w:val="EDD1AA67"/>
    <w:rsid w:val="EFA7AF91"/>
    <w:rsid w:val="EFC13B25"/>
    <w:rsid w:val="EFDF28BB"/>
    <w:rsid w:val="EFFE6DFC"/>
    <w:rsid w:val="F5EE68E5"/>
    <w:rsid w:val="F6DEE539"/>
    <w:rsid w:val="F6FF7171"/>
    <w:rsid w:val="F7777440"/>
    <w:rsid w:val="F79E0618"/>
    <w:rsid w:val="F7CF7625"/>
    <w:rsid w:val="F8C56E66"/>
    <w:rsid w:val="F8D6BA81"/>
    <w:rsid w:val="F9B63303"/>
    <w:rsid w:val="F9FFF4DF"/>
    <w:rsid w:val="FB78DE71"/>
    <w:rsid w:val="FBBF9C4F"/>
    <w:rsid w:val="FBEFC6F9"/>
    <w:rsid w:val="FBF6544A"/>
    <w:rsid w:val="FBF79DF2"/>
    <w:rsid w:val="FBFF8EBA"/>
    <w:rsid w:val="FC531697"/>
    <w:rsid w:val="FD3D1633"/>
    <w:rsid w:val="FDB796FD"/>
    <w:rsid w:val="FDBEA73E"/>
    <w:rsid w:val="FDF0A25F"/>
    <w:rsid w:val="FE4FB879"/>
    <w:rsid w:val="FEBF4877"/>
    <w:rsid w:val="FEFD53A9"/>
    <w:rsid w:val="FF5ECCA9"/>
    <w:rsid w:val="FF7EF399"/>
    <w:rsid w:val="FFCD59C9"/>
    <w:rsid w:val="FFFFD1A5"/>
    <w:rsid w:val="003B31E8"/>
    <w:rsid w:val="0071449F"/>
    <w:rsid w:val="00925F67"/>
    <w:rsid w:val="009B22FA"/>
    <w:rsid w:val="023A1BEB"/>
    <w:rsid w:val="039E29E9"/>
    <w:rsid w:val="09336C26"/>
    <w:rsid w:val="0B9C5992"/>
    <w:rsid w:val="0BDFB0BC"/>
    <w:rsid w:val="0E2B67B7"/>
    <w:rsid w:val="0E7B7B13"/>
    <w:rsid w:val="0EFF3F3C"/>
    <w:rsid w:val="0F4D7399"/>
    <w:rsid w:val="0FFF282B"/>
    <w:rsid w:val="10FD716C"/>
    <w:rsid w:val="11D20449"/>
    <w:rsid w:val="14D72E9E"/>
    <w:rsid w:val="16541973"/>
    <w:rsid w:val="1C6C40F3"/>
    <w:rsid w:val="1CDF1336"/>
    <w:rsid w:val="1EAA6A05"/>
    <w:rsid w:val="1FAF3A96"/>
    <w:rsid w:val="208D40D1"/>
    <w:rsid w:val="21FB3100"/>
    <w:rsid w:val="27DA3C42"/>
    <w:rsid w:val="28104430"/>
    <w:rsid w:val="2D3E7D46"/>
    <w:rsid w:val="2E0B7851"/>
    <w:rsid w:val="2E77595C"/>
    <w:rsid w:val="2FCA1723"/>
    <w:rsid w:val="31A95387"/>
    <w:rsid w:val="34643E0D"/>
    <w:rsid w:val="35C771D1"/>
    <w:rsid w:val="373BE57C"/>
    <w:rsid w:val="38E80DDF"/>
    <w:rsid w:val="3B7FBC68"/>
    <w:rsid w:val="3BD9E895"/>
    <w:rsid w:val="3C6F693D"/>
    <w:rsid w:val="3CB0460A"/>
    <w:rsid w:val="3DFD674E"/>
    <w:rsid w:val="3E7DD6BB"/>
    <w:rsid w:val="3EDFDD32"/>
    <w:rsid w:val="3EFFAF82"/>
    <w:rsid w:val="42D96D94"/>
    <w:rsid w:val="44DE33D5"/>
    <w:rsid w:val="482B73C1"/>
    <w:rsid w:val="49B13912"/>
    <w:rsid w:val="4C134E81"/>
    <w:rsid w:val="4C3F72A3"/>
    <w:rsid w:val="4CF0A19A"/>
    <w:rsid w:val="4DE7AD97"/>
    <w:rsid w:val="4EB4377D"/>
    <w:rsid w:val="4FFF7FA4"/>
    <w:rsid w:val="50E72748"/>
    <w:rsid w:val="51AA5B74"/>
    <w:rsid w:val="52410886"/>
    <w:rsid w:val="55BF16ED"/>
    <w:rsid w:val="58BB67A0"/>
    <w:rsid w:val="58D204C9"/>
    <w:rsid w:val="5B9533AD"/>
    <w:rsid w:val="5BF2FD35"/>
    <w:rsid w:val="5BFEED3E"/>
    <w:rsid w:val="5C021642"/>
    <w:rsid w:val="5CB47963"/>
    <w:rsid w:val="5D7958AE"/>
    <w:rsid w:val="5DBFDBD4"/>
    <w:rsid w:val="5DCE20FA"/>
    <w:rsid w:val="5DE24514"/>
    <w:rsid w:val="5EAF87FB"/>
    <w:rsid w:val="5F6B6A2D"/>
    <w:rsid w:val="5FD1E39C"/>
    <w:rsid w:val="62F7E262"/>
    <w:rsid w:val="64D81A92"/>
    <w:rsid w:val="650D74DA"/>
    <w:rsid w:val="69F45B07"/>
    <w:rsid w:val="6A7F7EFF"/>
    <w:rsid w:val="6D7F5E36"/>
    <w:rsid w:val="6E77CF14"/>
    <w:rsid w:val="6EB16194"/>
    <w:rsid w:val="6F0D5316"/>
    <w:rsid w:val="6F17483B"/>
    <w:rsid w:val="6FBFE292"/>
    <w:rsid w:val="6FEA38A9"/>
    <w:rsid w:val="6FF0019D"/>
    <w:rsid w:val="717F7889"/>
    <w:rsid w:val="718B7B2C"/>
    <w:rsid w:val="72A72729"/>
    <w:rsid w:val="735053D3"/>
    <w:rsid w:val="738359FA"/>
    <w:rsid w:val="73F75B05"/>
    <w:rsid w:val="75EDAFED"/>
    <w:rsid w:val="75FED31F"/>
    <w:rsid w:val="763FB68C"/>
    <w:rsid w:val="76D5EF31"/>
    <w:rsid w:val="77BE55BC"/>
    <w:rsid w:val="7BFB5726"/>
    <w:rsid w:val="7CE7AFD8"/>
    <w:rsid w:val="7CF249FD"/>
    <w:rsid w:val="7CFF75C7"/>
    <w:rsid w:val="7EBC6E42"/>
    <w:rsid w:val="7EBD3242"/>
    <w:rsid w:val="7F3FCEEC"/>
    <w:rsid w:val="7F573F61"/>
    <w:rsid w:val="7F5B2862"/>
    <w:rsid w:val="7F6F2FBA"/>
    <w:rsid w:val="7F7F333C"/>
    <w:rsid w:val="7FB79A58"/>
    <w:rsid w:val="7FCDC991"/>
    <w:rsid w:val="7FD97BA7"/>
    <w:rsid w:val="7FDDDC5F"/>
    <w:rsid w:val="7FDF4170"/>
    <w:rsid w:val="7FF3B94D"/>
    <w:rsid w:val="7FFBC783"/>
    <w:rsid w:val="7FFD1B4E"/>
    <w:rsid w:val="8AFE8A68"/>
    <w:rsid w:val="9D7F3195"/>
    <w:rsid w:val="9DEFEDB5"/>
    <w:rsid w:val="9EBF2D06"/>
    <w:rsid w:val="9F5E143A"/>
    <w:rsid w:val="9FDE6FF6"/>
    <w:rsid w:val="AD4F3787"/>
    <w:rsid w:val="ADFFD70F"/>
    <w:rsid w:val="BB2A801C"/>
    <w:rsid w:val="BB6BAED9"/>
    <w:rsid w:val="BB7F9341"/>
    <w:rsid w:val="BCED2D5A"/>
    <w:rsid w:val="BDA7E899"/>
    <w:rsid w:val="BFBBE295"/>
    <w:rsid w:val="BFBFCF87"/>
    <w:rsid w:val="BFD35C4C"/>
    <w:rsid w:val="BFD75304"/>
    <w:rsid w:val="BFD75EB9"/>
    <w:rsid w:val="BFF762D8"/>
    <w:rsid w:val="CDDFF0F7"/>
    <w:rsid w:val="CFDF492D"/>
    <w:rsid w:val="D3FBBB55"/>
    <w:rsid w:val="DEB88906"/>
    <w:rsid w:val="DEE2DC7C"/>
    <w:rsid w:val="DF9DA6B0"/>
    <w:rsid w:val="DFDAB605"/>
    <w:rsid w:val="DFFED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665A95-9B5C-4E35-B61D-5EA8AA20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631</Words>
  <Characters>3601</Characters>
  <Application>Microsoft Office Word</Application>
  <DocSecurity>0</DocSecurity>
  <Lines>30</Lines>
  <Paragraphs>8</Paragraphs>
  <ScaleCrop>false</ScaleCrop>
  <Company>CHINA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姜颖金</dc:creator>
  <cp:lastModifiedBy>USER</cp:lastModifiedBy>
  <cp:revision>3</cp:revision>
  <cp:lastPrinted>2024-12-17T00:01:00Z</cp:lastPrinted>
  <dcterms:created xsi:type="dcterms:W3CDTF">2024-12-20T03:15:00Z</dcterms:created>
  <dcterms:modified xsi:type="dcterms:W3CDTF">2024-12-20T03:16:00Z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BF6C1C368F9A48F596DAF8508F3BD9AB</vt:lpwstr>
  </property>
</Properties>
</file>